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3E" w:rsidRPr="00EC59F9" w:rsidRDefault="0020293E" w:rsidP="0020293E">
      <w:pPr>
        <w:widowControl/>
        <w:shd w:val="clear" w:color="auto" w:fill="FFFFFF"/>
        <w:spacing w:line="420" w:lineRule="atLeast"/>
        <w:jc w:val="center"/>
        <w:rPr>
          <w:rFonts w:ascii="Calibri" w:eastAsia="宋体" w:hAnsi="Calibri" w:cs="Calibri"/>
          <w:color w:val="333333"/>
          <w:kern w:val="0"/>
          <w:sz w:val="44"/>
          <w:szCs w:val="44"/>
        </w:rPr>
      </w:pPr>
      <w:r w:rsidRPr="00EC59F9">
        <w:rPr>
          <w:rFonts w:ascii="宋体" w:eastAsia="宋体" w:hAnsi="宋体" w:cs="Calibri" w:hint="eastAsia"/>
          <w:b/>
          <w:bCs/>
          <w:color w:val="000000"/>
          <w:kern w:val="0"/>
          <w:sz w:val="44"/>
          <w:szCs w:val="44"/>
        </w:rPr>
        <w:t>广州市住房和城乡建设委员会关于印发广州市危险性较大的分部分项工程专项</w:t>
      </w:r>
    </w:p>
    <w:p w:rsidR="0020293E" w:rsidRPr="00EC59F9" w:rsidRDefault="0020293E" w:rsidP="0020293E">
      <w:pPr>
        <w:widowControl/>
        <w:shd w:val="clear" w:color="auto" w:fill="FFFFFF"/>
        <w:spacing w:line="420" w:lineRule="atLeast"/>
        <w:jc w:val="center"/>
        <w:rPr>
          <w:rFonts w:ascii="Calibri" w:eastAsia="宋体" w:hAnsi="Calibri" w:cs="Calibri"/>
          <w:color w:val="333333"/>
          <w:kern w:val="0"/>
          <w:sz w:val="44"/>
          <w:szCs w:val="44"/>
        </w:rPr>
      </w:pPr>
      <w:r w:rsidRPr="00EC59F9">
        <w:rPr>
          <w:rFonts w:ascii="宋体" w:eastAsia="宋体" w:hAnsi="宋体" w:cs="Calibri" w:hint="eastAsia"/>
          <w:b/>
          <w:bCs/>
          <w:color w:val="000000"/>
          <w:kern w:val="0"/>
          <w:sz w:val="44"/>
          <w:szCs w:val="44"/>
        </w:rPr>
        <w:t>方案论证专家管理办法的通知</w:t>
      </w:r>
    </w:p>
    <w:p w:rsidR="0020293E" w:rsidRPr="0020293E" w:rsidRDefault="0020293E" w:rsidP="0020293E">
      <w:pPr>
        <w:widowControl/>
        <w:shd w:val="clear" w:color="auto" w:fill="FFFFFF"/>
        <w:spacing w:line="420" w:lineRule="atLeast"/>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 </w:t>
      </w:r>
    </w:p>
    <w:p w:rsidR="0020293E" w:rsidRPr="00EC59F9" w:rsidRDefault="0020293E" w:rsidP="0020293E">
      <w:pPr>
        <w:widowControl/>
        <w:shd w:val="clear" w:color="auto" w:fill="FFFFFF"/>
        <w:spacing w:line="420" w:lineRule="atLeast"/>
        <w:rPr>
          <w:rFonts w:ascii="Calibri" w:eastAsia="宋体" w:hAnsi="Calibri" w:cs="Calibri"/>
          <w:color w:val="333333"/>
          <w:kern w:val="0"/>
          <w:sz w:val="28"/>
          <w:szCs w:val="28"/>
        </w:rPr>
      </w:pPr>
      <w:r w:rsidRPr="00EC59F9">
        <w:rPr>
          <w:rFonts w:ascii="宋体" w:eastAsia="宋体" w:hAnsi="宋体" w:cs="Calibri" w:hint="eastAsia"/>
          <w:color w:val="000000"/>
          <w:kern w:val="0"/>
          <w:sz w:val="28"/>
          <w:szCs w:val="28"/>
        </w:rPr>
        <w:t>各有关单位：</w:t>
      </w:r>
    </w:p>
    <w:p w:rsidR="0020293E" w:rsidRPr="00EC59F9" w:rsidRDefault="0020293E" w:rsidP="0020293E">
      <w:pPr>
        <w:widowControl/>
        <w:shd w:val="clear" w:color="auto" w:fill="FFFFFF"/>
        <w:spacing w:before="100" w:beforeAutospacing="1" w:after="100" w:afterAutospacing="1" w:line="480" w:lineRule="atLeast"/>
        <w:ind w:firstLine="480"/>
        <w:jc w:val="left"/>
        <w:rPr>
          <w:rFonts w:ascii="宋体" w:eastAsia="宋体" w:hAnsi="宋体" w:cs="宋体"/>
          <w:color w:val="333333"/>
          <w:kern w:val="0"/>
          <w:sz w:val="28"/>
          <w:szCs w:val="28"/>
        </w:rPr>
      </w:pPr>
      <w:r w:rsidRPr="00EC59F9">
        <w:rPr>
          <w:rFonts w:ascii="宋体" w:eastAsia="宋体" w:hAnsi="宋体" w:cs="宋体" w:hint="eastAsia"/>
          <w:color w:val="000000"/>
          <w:kern w:val="0"/>
          <w:sz w:val="28"/>
          <w:szCs w:val="28"/>
        </w:rPr>
        <w:t>为进一步规范我市危险性较大的分部分项工程专项方案论证专家管理工作，我委修订了《广州市危险性较大的分部分项工程专项方案论证专家管理办法》，现予以重新印发实施，请遵照执行。</w:t>
      </w:r>
    </w:p>
    <w:p w:rsidR="0020293E" w:rsidRPr="00EC59F9" w:rsidRDefault="0020293E" w:rsidP="0020293E">
      <w:pPr>
        <w:widowControl/>
        <w:shd w:val="clear" w:color="auto" w:fill="FFFFFF"/>
        <w:spacing w:line="420" w:lineRule="atLeast"/>
        <w:rPr>
          <w:rFonts w:ascii="宋体" w:eastAsia="宋体" w:hAnsi="宋体" w:cs="宋体"/>
          <w:color w:val="333333"/>
          <w:kern w:val="0"/>
          <w:sz w:val="28"/>
          <w:szCs w:val="28"/>
        </w:rPr>
      </w:pPr>
      <w:r w:rsidRPr="00EC59F9">
        <w:rPr>
          <w:rFonts w:ascii="宋体" w:eastAsia="宋体" w:hAnsi="宋体" w:cs="宋体" w:hint="eastAsia"/>
          <w:color w:val="000000"/>
          <w:kern w:val="0"/>
          <w:sz w:val="28"/>
          <w:szCs w:val="28"/>
        </w:rPr>
        <w:t> </w:t>
      </w:r>
    </w:p>
    <w:p w:rsidR="0020293E" w:rsidRPr="00EC59F9" w:rsidRDefault="00EC59F9" w:rsidP="0020293E">
      <w:pPr>
        <w:widowControl/>
        <w:shd w:val="clear" w:color="auto" w:fill="FFFFFF"/>
        <w:spacing w:line="420" w:lineRule="atLeast"/>
        <w:ind w:firstLine="480"/>
        <w:jc w:val="right"/>
        <w:rPr>
          <w:rFonts w:ascii="Calibri" w:eastAsia="宋体" w:hAnsi="Calibri" w:cs="Calibri"/>
          <w:color w:val="333333"/>
          <w:kern w:val="0"/>
          <w:sz w:val="28"/>
          <w:szCs w:val="28"/>
        </w:rPr>
      </w:pPr>
      <w:r>
        <w:rPr>
          <w:rFonts w:ascii="宋体" w:eastAsia="宋体" w:hAnsi="宋体" w:cs="Calibri" w:hint="eastAsia"/>
          <w:color w:val="000000"/>
          <w:kern w:val="0"/>
          <w:sz w:val="28"/>
          <w:szCs w:val="28"/>
        </w:rPr>
        <w:t>                </w:t>
      </w:r>
      <w:r w:rsidR="0020293E" w:rsidRPr="00EC59F9">
        <w:rPr>
          <w:rFonts w:ascii="宋体" w:eastAsia="宋体" w:hAnsi="宋体" w:cs="Calibri" w:hint="eastAsia"/>
          <w:color w:val="000000"/>
          <w:kern w:val="0"/>
          <w:sz w:val="28"/>
          <w:szCs w:val="28"/>
        </w:rPr>
        <w:t>广州市住房和城乡建设委员会</w:t>
      </w:r>
    </w:p>
    <w:p w:rsidR="0020293E" w:rsidRPr="00EC59F9" w:rsidRDefault="00EC59F9" w:rsidP="00EC59F9">
      <w:pPr>
        <w:widowControl/>
        <w:shd w:val="clear" w:color="auto" w:fill="FFFFFF"/>
        <w:spacing w:line="420" w:lineRule="atLeast"/>
        <w:ind w:firstLine="480"/>
        <w:jc w:val="center"/>
        <w:rPr>
          <w:rFonts w:ascii="Calibri" w:eastAsia="宋体" w:hAnsi="Calibri" w:cs="Calibri"/>
          <w:color w:val="333333"/>
          <w:kern w:val="0"/>
          <w:sz w:val="28"/>
          <w:szCs w:val="28"/>
        </w:rPr>
      </w:pPr>
      <w:bookmarkStart w:id="0" w:name="_GoBack"/>
      <w:bookmarkEnd w:id="0"/>
      <w:r>
        <w:rPr>
          <w:rFonts w:ascii="宋体" w:eastAsia="宋体" w:hAnsi="宋体" w:cs="Calibri" w:hint="eastAsia"/>
          <w:color w:val="000000"/>
          <w:kern w:val="0"/>
          <w:sz w:val="28"/>
          <w:szCs w:val="28"/>
        </w:rPr>
        <w:t xml:space="preserve">                               </w:t>
      </w:r>
      <w:r w:rsidRPr="00EC59F9">
        <w:rPr>
          <w:rFonts w:ascii="宋体" w:eastAsia="宋体" w:hAnsi="宋体" w:cs="Calibri" w:hint="eastAsia"/>
          <w:color w:val="000000"/>
          <w:kern w:val="0"/>
          <w:sz w:val="28"/>
          <w:szCs w:val="28"/>
        </w:rPr>
        <w:t>2</w:t>
      </w:r>
      <w:r w:rsidR="0020293E" w:rsidRPr="00EC59F9">
        <w:rPr>
          <w:rFonts w:ascii="宋体" w:eastAsia="宋体" w:hAnsi="宋体" w:cs="Calibri" w:hint="eastAsia"/>
          <w:color w:val="000000"/>
          <w:kern w:val="0"/>
          <w:sz w:val="28"/>
          <w:szCs w:val="28"/>
        </w:rPr>
        <w:t>018年7月16日</w:t>
      </w:r>
    </w:p>
    <w:p w:rsidR="00EC59F9" w:rsidRDefault="00EC59F9" w:rsidP="0020293E">
      <w:pPr>
        <w:widowControl/>
        <w:shd w:val="clear" w:color="auto" w:fill="FFFFFF"/>
        <w:spacing w:line="420" w:lineRule="atLeast"/>
        <w:jc w:val="center"/>
        <w:rPr>
          <w:rFonts w:ascii="宋体" w:eastAsia="宋体" w:hAnsi="宋体" w:cs="Calibri"/>
          <w:b/>
          <w:bCs/>
          <w:color w:val="000000"/>
          <w:kern w:val="0"/>
          <w:sz w:val="24"/>
          <w:szCs w:val="24"/>
        </w:rPr>
      </w:pPr>
    </w:p>
    <w:p w:rsidR="00EC59F9" w:rsidRDefault="00EC59F9" w:rsidP="0020293E">
      <w:pPr>
        <w:widowControl/>
        <w:shd w:val="clear" w:color="auto" w:fill="FFFFFF"/>
        <w:spacing w:line="420" w:lineRule="atLeast"/>
        <w:jc w:val="center"/>
        <w:rPr>
          <w:rFonts w:ascii="宋体" w:eastAsia="宋体" w:hAnsi="宋体" w:cs="Calibri"/>
          <w:b/>
          <w:bCs/>
          <w:color w:val="000000"/>
          <w:kern w:val="0"/>
          <w:sz w:val="24"/>
          <w:szCs w:val="24"/>
        </w:rPr>
      </w:pPr>
    </w:p>
    <w:p w:rsidR="00EC59F9" w:rsidRDefault="00EC59F9" w:rsidP="0020293E">
      <w:pPr>
        <w:widowControl/>
        <w:shd w:val="clear" w:color="auto" w:fill="FFFFFF"/>
        <w:spacing w:line="420" w:lineRule="atLeast"/>
        <w:jc w:val="center"/>
        <w:rPr>
          <w:rFonts w:ascii="宋体" w:eastAsia="宋体" w:hAnsi="宋体" w:cs="Calibri"/>
          <w:b/>
          <w:bCs/>
          <w:color w:val="000000"/>
          <w:kern w:val="0"/>
          <w:sz w:val="24"/>
          <w:szCs w:val="24"/>
        </w:rPr>
      </w:pPr>
    </w:p>
    <w:p w:rsidR="00EC59F9" w:rsidRDefault="00EC59F9" w:rsidP="0020293E">
      <w:pPr>
        <w:widowControl/>
        <w:shd w:val="clear" w:color="auto" w:fill="FFFFFF"/>
        <w:spacing w:line="420" w:lineRule="atLeast"/>
        <w:jc w:val="center"/>
        <w:rPr>
          <w:rFonts w:ascii="宋体" w:eastAsia="宋体" w:hAnsi="宋体" w:cs="Calibri"/>
          <w:b/>
          <w:bCs/>
          <w:color w:val="000000"/>
          <w:kern w:val="0"/>
          <w:sz w:val="24"/>
          <w:szCs w:val="24"/>
        </w:rPr>
      </w:pPr>
    </w:p>
    <w:p w:rsidR="0020293E" w:rsidRPr="00EC59F9" w:rsidRDefault="0020293E" w:rsidP="0020293E">
      <w:pPr>
        <w:widowControl/>
        <w:shd w:val="clear" w:color="auto" w:fill="FFFFFF"/>
        <w:spacing w:line="420" w:lineRule="atLeast"/>
        <w:jc w:val="center"/>
        <w:rPr>
          <w:rFonts w:ascii="Calibri" w:eastAsia="宋体" w:hAnsi="Calibri" w:cs="Calibri"/>
          <w:color w:val="333333"/>
          <w:kern w:val="0"/>
          <w:sz w:val="30"/>
          <w:szCs w:val="30"/>
        </w:rPr>
      </w:pPr>
      <w:r w:rsidRPr="00EC59F9">
        <w:rPr>
          <w:rFonts w:ascii="宋体" w:eastAsia="宋体" w:hAnsi="宋体" w:cs="Calibri" w:hint="eastAsia"/>
          <w:b/>
          <w:bCs/>
          <w:color w:val="000000"/>
          <w:kern w:val="0"/>
          <w:sz w:val="30"/>
          <w:szCs w:val="30"/>
        </w:rPr>
        <w:t>广州市危险性较大的分部分项工程专项方案论证专家管理办法</w:t>
      </w:r>
    </w:p>
    <w:p w:rsidR="0020293E" w:rsidRPr="0020293E" w:rsidRDefault="0020293E" w:rsidP="0020293E">
      <w:pPr>
        <w:widowControl/>
        <w:shd w:val="clear" w:color="auto" w:fill="FFFFFF"/>
        <w:spacing w:line="420" w:lineRule="atLeast"/>
        <w:jc w:val="center"/>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 </w:t>
      </w:r>
    </w:p>
    <w:p w:rsidR="0020293E" w:rsidRPr="0020293E" w:rsidRDefault="0020293E" w:rsidP="0020293E">
      <w:pPr>
        <w:widowControl/>
        <w:shd w:val="clear" w:color="auto" w:fill="FFFFFF"/>
        <w:spacing w:before="100" w:beforeAutospacing="1" w:after="100" w:afterAutospacing="1" w:line="480" w:lineRule="atLeast"/>
        <w:ind w:firstLine="480"/>
        <w:jc w:val="left"/>
        <w:rPr>
          <w:rFonts w:ascii="宋体" w:eastAsia="宋体" w:hAnsi="宋体" w:cs="宋体"/>
          <w:color w:val="333333"/>
          <w:kern w:val="0"/>
          <w:sz w:val="24"/>
          <w:szCs w:val="24"/>
        </w:rPr>
      </w:pPr>
      <w:r w:rsidRPr="0020293E">
        <w:rPr>
          <w:rFonts w:ascii="宋体" w:eastAsia="宋体" w:hAnsi="宋体" w:cs="宋体" w:hint="eastAsia"/>
          <w:b/>
          <w:bCs/>
          <w:color w:val="000000"/>
          <w:kern w:val="0"/>
          <w:sz w:val="24"/>
          <w:szCs w:val="24"/>
        </w:rPr>
        <w:t>第一条 </w:t>
      </w:r>
      <w:r w:rsidRPr="0020293E">
        <w:rPr>
          <w:rFonts w:ascii="宋体" w:eastAsia="宋体" w:hAnsi="宋体" w:cs="宋体" w:hint="eastAsia"/>
          <w:color w:val="000000"/>
          <w:kern w:val="0"/>
          <w:sz w:val="24"/>
          <w:szCs w:val="24"/>
        </w:rPr>
        <w:t> 为加强我市危险性较大的分部分项工程专项方案论证专家(以下简称专家)管理，保证建设工程安全生产，根据住房和城乡建设部《危险性较大的分部分项工程安全管理办法》（</w:t>
      </w:r>
      <w:proofErr w:type="gramStart"/>
      <w:r w:rsidRPr="0020293E">
        <w:rPr>
          <w:rFonts w:ascii="宋体" w:eastAsia="宋体" w:hAnsi="宋体" w:cs="宋体" w:hint="eastAsia"/>
          <w:color w:val="000000"/>
          <w:kern w:val="0"/>
          <w:sz w:val="24"/>
          <w:szCs w:val="24"/>
        </w:rPr>
        <w:t>建质〔2009〕</w:t>
      </w:r>
      <w:proofErr w:type="gramEnd"/>
      <w:r w:rsidRPr="0020293E">
        <w:rPr>
          <w:rFonts w:ascii="宋体" w:eastAsia="宋体" w:hAnsi="宋体" w:cs="宋体" w:hint="eastAsia"/>
          <w:color w:val="000000"/>
          <w:kern w:val="0"/>
          <w:sz w:val="24"/>
          <w:szCs w:val="24"/>
        </w:rPr>
        <w:t>87号）和《广东省住房和城乡建设厅关于〈危险性较大的分部分项工程安全管理办法〉的实施细则的通知》（</w:t>
      </w:r>
      <w:proofErr w:type="gramStart"/>
      <w:r w:rsidRPr="0020293E">
        <w:rPr>
          <w:rFonts w:ascii="宋体" w:eastAsia="宋体" w:hAnsi="宋体" w:cs="宋体" w:hint="eastAsia"/>
          <w:color w:val="000000"/>
          <w:kern w:val="0"/>
          <w:sz w:val="24"/>
          <w:szCs w:val="24"/>
        </w:rPr>
        <w:t>粤建质〔2011〕</w:t>
      </w:r>
      <w:proofErr w:type="gramEnd"/>
      <w:r w:rsidRPr="0020293E">
        <w:rPr>
          <w:rFonts w:ascii="宋体" w:eastAsia="宋体" w:hAnsi="宋体" w:cs="宋体" w:hint="eastAsia"/>
          <w:color w:val="000000"/>
          <w:kern w:val="0"/>
          <w:sz w:val="24"/>
          <w:szCs w:val="24"/>
        </w:rPr>
        <w:t>13号）的规定，结合本市实际，制定本办法。</w:t>
      </w:r>
    </w:p>
    <w:p w:rsidR="0020293E" w:rsidRPr="0020293E" w:rsidRDefault="0020293E" w:rsidP="0020293E">
      <w:pPr>
        <w:widowControl/>
        <w:shd w:val="clear" w:color="auto" w:fill="FFFFFF"/>
        <w:spacing w:before="100" w:beforeAutospacing="1" w:after="100" w:afterAutospacing="1" w:line="480" w:lineRule="atLeast"/>
        <w:ind w:firstLine="480"/>
        <w:jc w:val="left"/>
        <w:rPr>
          <w:rFonts w:ascii="宋体" w:eastAsia="宋体" w:hAnsi="宋体" w:cs="宋体"/>
          <w:color w:val="333333"/>
          <w:kern w:val="0"/>
          <w:sz w:val="24"/>
          <w:szCs w:val="24"/>
        </w:rPr>
      </w:pPr>
      <w:r w:rsidRPr="0020293E">
        <w:rPr>
          <w:rFonts w:ascii="宋体" w:eastAsia="宋体" w:hAnsi="宋体" w:cs="宋体" w:hint="eastAsia"/>
          <w:b/>
          <w:bCs/>
          <w:color w:val="000000"/>
          <w:kern w:val="0"/>
          <w:sz w:val="24"/>
          <w:szCs w:val="24"/>
        </w:rPr>
        <w:t>第二条 </w:t>
      </w:r>
      <w:r w:rsidRPr="0020293E">
        <w:rPr>
          <w:rFonts w:ascii="宋体" w:eastAsia="宋体" w:hAnsi="宋体" w:cs="宋体" w:hint="eastAsia"/>
          <w:color w:val="000000"/>
          <w:kern w:val="0"/>
          <w:sz w:val="24"/>
          <w:szCs w:val="24"/>
        </w:rPr>
        <w:t> 市建设行政主管部门负责组织实施本办法。</w:t>
      </w:r>
    </w:p>
    <w:p w:rsidR="0020293E" w:rsidRPr="0020293E" w:rsidRDefault="0020293E" w:rsidP="0020293E">
      <w:pPr>
        <w:widowControl/>
        <w:shd w:val="clear" w:color="auto" w:fill="FFFFFF"/>
        <w:spacing w:before="100" w:beforeAutospacing="1" w:after="100" w:afterAutospacing="1" w:line="480" w:lineRule="atLeast"/>
        <w:ind w:firstLine="480"/>
        <w:jc w:val="left"/>
        <w:rPr>
          <w:rFonts w:ascii="宋体" w:eastAsia="宋体" w:hAnsi="宋体" w:cs="宋体"/>
          <w:color w:val="333333"/>
          <w:kern w:val="0"/>
          <w:sz w:val="24"/>
          <w:szCs w:val="24"/>
        </w:rPr>
      </w:pPr>
      <w:r w:rsidRPr="0020293E">
        <w:rPr>
          <w:rFonts w:ascii="宋体" w:eastAsia="宋体" w:hAnsi="宋体" w:cs="宋体" w:hint="eastAsia"/>
          <w:b/>
          <w:bCs/>
          <w:color w:val="000000"/>
          <w:kern w:val="0"/>
          <w:sz w:val="24"/>
          <w:szCs w:val="24"/>
        </w:rPr>
        <w:lastRenderedPageBreak/>
        <w:t>第三条 </w:t>
      </w:r>
      <w:r w:rsidRPr="0020293E">
        <w:rPr>
          <w:rFonts w:ascii="宋体" w:eastAsia="宋体" w:hAnsi="宋体" w:cs="宋体" w:hint="eastAsia"/>
          <w:color w:val="000000"/>
          <w:kern w:val="0"/>
          <w:sz w:val="24"/>
          <w:szCs w:val="24"/>
        </w:rPr>
        <w:t> 广州市建设科学技术委员会办公室（以下简称市建设科技委办）负责专家库的建立和日常管理工作，履行以下职责：</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w:t>
      </w:r>
      <w:proofErr w:type="gramStart"/>
      <w:r w:rsidRPr="0020293E">
        <w:rPr>
          <w:rFonts w:ascii="宋体" w:eastAsia="宋体" w:hAnsi="宋体" w:cs="Calibri" w:hint="eastAsia"/>
          <w:color w:val="000000"/>
          <w:kern w:val="0"/>
          <w:sz w:val="24"/>
          <w:szCs w:val="24"/>
        </w:rPr>
        <w:t>一</w:t>
      </w:r>
      <w:proofErr w:type="gramEnd"/>
      <w:r w:rsidRPr="0020293E">
        <w:rPr>
          <w:rFonts w:ascii="宋体" w:eastAsia="宋体" w:hAnsi="宋体" w:cs="Calibri" w:hint="eastAsia"/>
          <w:color w:val="000000"/>
          <w:kern w:val="0"/>
          <w:sz w:val="24"/>
          <w:szCs w:val="24"/>
        </w:rPr>
        <w:t>)聘任、更新、选用、考评以及解聘专家等；</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(二)建立专家库以及专家随机抽取平台；</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(三)制定专家库管理制度；</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(四)组织专家交流学习。</w:t>
      </w:r>
    </w:p>
    <w:p w:rsidR="0020293E" w:rsidRPr="0020293E" w:rsidRDefault="0020293E" w:rsidP="0020293E">
      <w:pPr>
        <w:widowControl/>
        <w:shd w:val="clear" w:color="auto" w:fill="FFFFFF"/>
        <w:spacing w:before="100" w:beforeAutospacing="1" w:after="100" w:afterAutospacing="1" w:line="480" w:lineRule="atLeast"/>
        <w:ind w:firstLine="480"/>
        <w:jc w:val="left"/>
        <w:rPr>
          <w:rFonts w:ascii="宋体" w:eastAsia="宋体" w:hAnsi="宋体" w:cs="宋体"/>
          <w:color w:val="333333"/>
          <w:kern w:val="0"/>
          <w:sz w:val="24"/>
          <w:szCs w:val="24"/>
        </w:rPr>
      </w:pPr>
      <w:r w:rsidRPr="0020293E">
        <w:rPr>
          <w:rFonts w:ascii="宋体" w:eastAsia="宋体" w:hAnsi="宋体" w:cs="宋体" w:hint="eastAsia"/>
          <w:b/>
          <w:bCs/>
          <w:color w:val="000000"/>
          <w:kern w:val="0"/>
          <w:sz w:val="24"/>
          <w:szCs w:val="24"/>
        </w:rPr>
        <w:t>第四条 </w:t>
      </w:r>
      <w:r w:rsidRPr="0020293E">
        <w:rPr>
          <w:rFonts w:ascii="宋体" w:eastAsia="宋体" w:hAnsi="宋体" w:cs="宋体" w:hint="eastAsia"/>
          <w:color w:val="000000"/>
          <w:kern w:val="0"/>
          <w:sz w:val="24"/>
          <w:szCs w:val="24"/>
        </w:rPr>
        <w:t> 对专家的管理，应遵循公开、公平、公正、诚实信用，有利于提高论证工作质量的原则。</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第五条</w:t>
      </w:r>
      <w:r w:rsidRPr="0020293E">
        <w:rPr>
          <w:rFonts w:ascii="宋体" w:eastAsia="宋体" w:hAnsi="宋体" w:cs="Calibri" w:hint="eastAsia"/>
          <w:color w:val="000000"/>
          <w:kern w:val="0"/>
          <w:sz w:val="24"/>
          <w:szCs w:val="24"/>
        </w:rPr>
        <w:t>  入选专家库的专家，必须具备以下条件：</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（一）从事本办法第六条所列专业或其他相关专业工作满15年以上，并具有高级专业技术职称，在行业内具有一定知名度、成绩突出的专业人士；</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（二）最近5年无违法违纪行为，诚信记录良好；</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（三）年龄一般在65周岁以下，健康状况良好，能够承担相应论证工作；两院院士、全国勘察设计大师及或享受国务院政府特殊津贴者，可不受年龄限制；</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（四）法规、规章和文件规定的其他条件。</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第六条</w:t>
      </w:r>
      <w:r w:rsidRPr="0020293E">
        <w:rPr>
          <w:rFonts w:ascii="宋体" w:eastAsia="宋体" w:hAnsi="宋体" w:cs="Calibri" w:hint="eastAsia"/>
          <w:color w:val="000000"/>
          <w:kern w:val="0"/>
          <w:sz w:val="24"/>
          <w:szCs w:val="24"/>
        </w:rPr>
        <w:t>  专家</w:t>
      </w:r>
      <w:proofErr w:type="gramStart"/>
      <w:r w:rsidRPr="0020293E">
        <w:rPr>
          <w:rFonts w:ascii="宋体" w:eastAsia="宋体" w:hAnsi="宋体" w:cs="Calibri" w:hint="eastAsia"/>
          <w:color w:val="000000"/>
          <w:kern w:val="0"/>
          <w:sz w:val="24"/>
          <w:szCs w:val="24"/>
        </w:rPr>
        <w:t>库分为</w:t>
      </w:r>
      <w:proofErr w:type="gramEnd"/>
      <w:r w:rsidRPr="0020293E">
        <w:rPr>
          <w:rFonts w:ascii="宋体" w:eastAsia="宋体" w:hAnsi="宋体" w:cs="Calibri" w:hint="eastAsia"/>
          <w:color w:val="000000"/>
          <w:kern w:val="0"/>
          <w:sz w:val="24"/>
          <w:szCs w:val="24"/>
        </w:rPr>
        <w:t>岩土工程专项施工类、模架工程专项施工类、起重吊装和拆卸工程专项施工类、拆除和爆破工程专项施工类、深基坑工程支护设计类、地下工程及深基坑工程安全监测类六个专业类别，各专业类别的具体论证范围对应如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（一）岩土工程专项施工类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1.开挖深度超过5m（含5m）的基坑（槽）的土方开挖、支护、降水工程；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2.开挖深度虽未超过5m，但地质条件、周围环境和地下管线复杂，或影响毗邻建筑（构筑）物安全的基坑（槽）的土方开挖、支护、降水工程；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3.开挖深度超过16m的人工挖孔桩工程；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4.地下暗挖工程、盾构工程、顶管工程、水下作业工程；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5.采用新技术、新工艺、新材料、新设备及尚无相关技术标准的相应危险性较大的岩土工程。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（二）模架工程专项施工类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lastRenderedPageBreak/>
        <w:t>1.工具式模板工程：包括滑模、爬模、</w:t>
      </w:r>
      <w:proofErr w:type="gramStart"/>
      <w:r w:rsidRPr="0020293E">
        <w:rPr>
          <w:rFonts w:ascii="宋体" w:eastAsia="宋体" w:hAnsi="宋体" w:cs="Calibri" w:hint="eastAsia"/>
          <w:color w:val="000000"/>
          <w:kern w:val="0"/>
          <w:sz w:val="24"/>
          <w:szCs w:val="24"/>
        </w:rPr>
        <w:t>飞模等</w:t>
      </w:r>
      <w:proofErr w:type="gramEnd"/>
      <w:r w:rsidRPr="0020293E">
        <w:rPr>
          <w:rFonts w:ascii="宋体" w:eastAsia="宋体" w:hAnsi="宋体" w:cs="Calibri" w:hint="eastAsia"/>
          <w:color w:val="000000"/>
          <w:kern w:val="0"/>
          <w:sz w:val="24"/>
          <w:szCs w:val="24"/>
        </w:rPr>
        <w:t>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2.混凝土模板支撑工程：支撑高度8m及以上；搭设跨度18m及以上，施工总荷载15kN/m2及以上；集中线荷载20kN/m及以上；</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3.承重支撑体系：用于钢结构安装等满堂支撑体系，承受单点集中荷载700Kg以上；</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4.搭设高度50m及以上落地式钢管脚手架工程；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5.提升高度150m及以上附着式整体和分片提升脚手架工程；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6.架体高度20m及以上悬挑脚手架工程；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7.施工高度50m及以上的建筑幕墙安装工程；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8.跨度大于36m及以上的钢结构安装工程；跨度大于60m及以上的网架和</w:t>
      </w:r>
      <w:proofErr w:type="gramStart"/>
      <w:r w:rsidRPr="0020293E">
        <w:rPr>
          <w:rFonts w:ascii="宋体" w:eastAsia="宋体" w:hAnsi="宋体" w:cs="Calibri" w:hint="eastAsia"/>
          <w:color w:val="000000"/>
          <w:kern w:val="0"/>
          <w:sz w:val="24"/>
          <w:szCs w:val="24"/>
        </w:rPr>
        <w:t>索膜</w:t>
      </w:r>
      <w:proofErr w:type="gramEnd"/>
      <w:r w:rsidRPr="0020293E">
        <w:rPr>
          <w:rFonts w:ascii="宋体" w:eastAsia="宋体" w:hAnsi="宋体" w:cs="Calibri" w:hint="eastAsia"/>
          <w:color w:val="000000"/>
          <w:kern w:val="0"/>
          <w:sz w:val="24"/>
          <w:szCs w:val="24"/>
        </w:rPr>
        <w:t>结构安装工程；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9.采用新技术、新工艺、新材料、新设备及尚无相关技术标准的相应危险性较大的模架工程。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（三）起重吊装和拆卸工程专项施工类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1.采用非常规起重设备、方法，且单件起吊重量在100kN及以上的起重吊装工程；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2.起重量300kN及以上的起重设备安装工程；高度200m及以上内爬起重设备的拆除工程；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3.采用新技术、新工艺、新材料、新设备及尚无相关技术标准的相应危险性较大的起重吊装和拆卸工程。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（四）拆除和爆破工程专项施工类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1.采用爆破拆除的工程；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2.码头、桥梁、高架、烟囱、水塔或拆除中容易引起有毒有害气（液）体或粉尘扩散、易燃易爆事故发生的特殊建、构筑物的拆除工程；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3.可能影响行人、交通、电力设施、通讯设施或其它建、构筑物安全的拆除工程；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4.文物保护建筑、优秀历史建筑或历史文化风貌区控制范围的拆除工程；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5.采用新技术、新工艺、新材料、新设备及尚无相关技术标准的相应危险性较大的拆除和爆破工程。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（五）深基坑工程支护设计类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lastRenderedPageBreak/>
        <w:t>1.开挖深度超过5m（含5m）的基坑（槽）的土方开挖、支护、降水工程；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2.开挖深度虽未超过5m，但地质条件、周围环境和地下管线复杂，或影响毗邻建筑（构筑）物安全的基坑（槽）的土方开挖、支护、降水工程。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（六）地下工程及深基坑工程安全监测类</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1.开挖深度超过5m（含5m）的基坑（槽）的土方开挖、支护、降水工程；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2.开挖深度虽未超过5m，但地质条件、周围环境和地下管线复杂，或影响毗邻建筑（构筑）物安全的基坑（槽）的土方开挖、支护、降水工程；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3.地下暗挖工程、盾构工程、顶管工程、水下作业工程。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各专业类别的专家可以参加属于本专业范围工程专项方案的论证。对于跨度大于36m及以上的钢结构安装工程、跨度大于60m及以上的网架和</w:t>
      </w:r>
      <w:proofErr w:type="gramStart"/>
      <w:r w:rsidRPr="0020293E">
        <w:rPr>
          <w:rFonts w:ascii="宋体" w:eastAsia="宋体" w:hAnsi="宋体" w:cs="Calibri" w:hint="eastAsia"/>
          <w:color w:val="000000"/>
          <w:kern w:val="0"/>
          <w:sz w:val="24"/>
          <w:szCs w:val="24"/>
        </w:rPr>
        <w:t>索膜</w:t>
      </w:r>
      <w:proofErr w:type="gramEnd"/>
      <w:r w:rsidRPr="0020293E">
        <w:rPr>
          <w:rFonts w:ascii="宋体" w:eastAsia="宋体" w:hAnsi="宋体" w:cs="Calibri" w:hint="eastAsia"/>
          <w:color w:val="000000"/>
          <w:kern w:val="0"/>
          <w:sz w:val="24"/>
          <w:szCs w:val="24"/>
        </w:rPr>
        <w:t>结构安装工程，其专项方案论证专家组中应有起重吊装和拆卸工程专业类别的专家。</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第七条 </w:t>
      </w:r>
      <w:r w:rsidRPr="0020293E">
        <w:rPr>
          <w:rFonts w:ascii="宋体" w:eastAsia="宋体" w:hAnsi="宋体" w:cs="Calibri" w:hint="eastAsia"/>
          <w:color w:val="000000"/>
          <w:kern w:val="0"/>
          <w:sz w:val="24"/>
          <w:szCs w:val="24"/>
        </w:rPr>
        <w:t> 选聘专家的方式有个人申请和市建设科技委办邀请两种。</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（一）通过个人申请方式选聘专家的，专家聘期为3年，可连聘连任，每位专家选聘的专业类别不超过2个。选聘的基本程序如下: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1.市建设科技委办在广州市住房城乡建设网上发布通知；</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2.申请人按通知要求向市建设科技委办提交申请材料；</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3.市建设科技委办对申请材料进行核实，经市建设行政主管部门同意后确定候选人名单，并将候选人名单在广州市住房城乡建设</w:t>
      </w:r>
      <w:proofErr w:type="gramStart"/>
      <w:r w:rsidRPr="0020293E">
        <w:rPr>
          <w:rFonts w:ascii="宋体" w:eastAsia="宋体" w:hAnsi="宋体" w:cs="Calibri" w:hint="eastAsia"/>
          <w:color w:val="000000"/>
          <w:kern w:val="0"/>
          <w:sz w:val="24"/>
          <w:szCs w:val="24"/>
        </w:rPr>
        <w:t>网予以</w:t>
      </w:r>
      <w:proofErr w:type="gramEnd"/>
      <w:r w:rsidRPr="0020293E">
        <w:rPr>
          <w:rFonts w:ascii="宋体" w:eastAsia="宋体" w:hAnsi="宋体" w:cs="Calibri" w:hint="eastAsia"/>
          <w:color w:val="000000"/>
          <w:kern w:val="0"/>
          <w:sz w:val="24"/>
          <w:szCs w:val="24"/>
        </w:rPr>
        <w:t>公示，公示期不少于7个工作日；公示期内，如对公示名单有异议并能够提供相关证据的，任何单位和个人均可以电话、书面或其他形式向市建设科技委办反映，市建设科技委办应进一步核实、确证。</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4.市建设科技委办根据公示结果确定聘任的专家名单，并在广州市住房城乡建设网公布。</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（二）通过市建设科技委办邀请方式选聘专家的，可担任特定（某项）工程专项方案的论证专家。选聘的基本程序如下: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1.组织论证的单位根据项目需要向市建设科技委办推</w:t>
      </w:r>
    </w:p>
    <w:p w:rsidR="0020293E" w:rsidRPr="0020293E" w:rsidRDefault="0020293E" w:rsidP="0020293E">
      <w:pPr>
        <w:widowControl/>
        <w:shd w:val="clear" w:color="auto" w:fill="FFFFFF"/>
        <w:spacing w:line="420" w:lineRule="atLeast"/>
        <w:rPr>
          <w:rFonts w:ascii="Calibri" w:eastAsia="宋体" w:hAnsi="Calibri" w:cs="Calibri"/>
          <w:color w:val="333333"/>
          <w:kern w:val="0"/>
          <w:szCs w:val="21"/>
        </w:rPr>
      </w:pPr>
      <w:proofErr w:type="gramStart"/>
      <w:r w:rsidRPr="0020293E">
        <w:rPr>
          <w:rFonts w:ascii="宋体" w:eastAsia="宋体" w:hAnsi="宋体" w:cs="Calibri" w:hint="eastAsia"/>
          <w:color w:val="000000"/>
          <w:kern w:val="0"/>
          <w:sz w:val="24"/>
          <w:szCs w:val="24"/>
        </w:rPr>
        <w:t>荐</w:t>
      </w:r>
      <w:proofErr w:type="gramEnd"/>
      <w:r w:rsidRPr="0020293E">
        <w:rPr>
          <w:rFonts w:ascii="宋体" w:eastAsia="宋体" w:hAnsi="宋体" w:cs="Calibri" w:hint="eastAsia"/>
          <w:color w:val="000000"/>
          <w:kern w:val="0"/>
          <w:sz w:val="24"/>
          <w:szCs w:val="24"/>
        </w:rPr>
        <w:t>特殊专业专家，并提交专家材料；</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2.市建设科技委办对专家材料进行核实，经市建设行政主管部门同意后确定候选人名单，并将候选人名单在广州市住房城乡建设</w:t>
      </w:r>
      <w:proofErr w:type="gramStart"/>
      <w:r w:rsidRPr="0020293E">
        <w:rPr>
          <w:rFonts w:ascii="宋体" w:eastAsia="宋体" w:hAnsi="宋体" w:cs="Calibri" w:hint="eastAsia"/>
          <w:color w:val="000000"/>
          <w:kern w:val="0"/>
          <w:sz w:val="24"/>
          <w:szCs w:val="24"/>
        </w:rPr>
        <w:t>网予以</w:t>
      </w:r>
      <w:proofErr w:type="gramEnd"/>
      <w:r w:rsidRPr="0020293E">
        <w:rPr>
          <w:rFonts w:ascii="宋体" w:eastAsia="宋体" w:hAnsi="宋体" w:cs="Calibri" w:hint="eastAsia"/>
          <w:color w:val="000000"/>
          <w:kern w:val="0"/>
          <w:sz w:val="24"/>
          <w:szCs w:val="24"/>
        </w:rPr>
        <w:t>公示，公示期不少于7个工作日；公示期内，如对公示名单有异议并能够提供相关证据的，任何单位和个人</w:t>
      </w:r>
      <w:r w:rsidRPr="0020293E">
        <w:rPr>
          <w:rFonts w:ascii="宋体" w:eastAsia="宋体" w:hAnsi="宋体" w:cs="Calibri" w:hint="eastAsia"/>
          <w:color w:val="000000"/>
          <w:kern w:val="0"/>
          <w:sz w:val="24"/>
          <w:szCs w:val="24"/>
        </w:rPr>
        <w:lastRenderedPageBreak/>
        <w:t>均可以电话、书面或其他形式向市建设科技委办反映，市建设科技委办应进一步核实、确证。</w:t>
      </w:r>
    </w:p>
    <w:p w:rsidR="0020293E" w:rsidRPr="0020293E" w:rsidRDefault="0020293E" w:rsidP="0020293E">
      <w:pPr>
        <w:widowControl/>
        <w:shd w:val="clear" w:color="auto" w:fill="FFFFFF"/>
        <w:spacing w:line="420" w:lineRule="atLeast"/>
        <w:ind w:firstLine="60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3.市建设科技委办根据公示结果确定聘任的专家名单，并在广州市住房城乡建设网公布。</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第八条 </w:t>
      </w:r>
      <w:r w:rsidRPr="0020293E">
        <w:rPr>
          <w:rFonts w:ascii="宋体" w:eastAsia="宋体" w:hAnsi="宋体" w:cs="Calibri" w:hint="eastAsia"/>
          <w:color w:val="000000"/>
          <w:kern w:val="0"/>
          <w:sz w:val="24"/>
          <w:szCs w:val="24"/>
        </w:rPr>
        <w:t>  专家享有下列权利：</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（一）接受委托担任专项方案论证专家；</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（二）受邀参与论证活动获得合理的劳务费用；</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（三）论证会召开3天前取得方案论证资料，并根据论证需要调阅工程相关技术资料；</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（四）对专家库的管理工作提出意见和建议。</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第九条 </w:t>
      </w:r>
      <w:r w:rsidRPr="0020293E">
        <w:rPr>
          <w:rFonts w:ascii="宋体" w:eastAsia="宋体" w:hAnsi="宋体" w:cs="Calibri" w:hint="eastAsia"/>
          <w:color w:val="000000"/>
          <w:kern w:val="0"/>
          <w:sz w:val="24"/>
          <w:szCs w:val="24"/>
        </w:rPr>
        <w:t>  专家负有下列义务：</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（一）遵守本办法及相应专家管理细则的规定；</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（二）按时参加专项方案论证工作，不得无故迟到、早退，确有特殊情况不能参加论证工作的，应至少提前2天请假；</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（三）认真查阅有关技术资料和专项方案，客观公正、科学准确地提出论证意见，对于有特殊要求的专项，应在论证前进行现场</w:t>
      </w:r>
      <w:proofErr w:type="gramStart"/>
      <w:r w:rsidRPr="0020293E">
        <w:rPr>
          <w:rFonts w:ascii="宋体" w:eastAsia="宋体" w:hAnsi="宋体" w:cs="Calibri" w:hint="eastAsia"/>
          <w:color w:val="000000"/>
          <w:kern w:val="0"/>
          <w:sz w:val="24"/>
          <w:szCs w:val="24"/>
        </w:rPr>
        <w:t>勘</w:t>
      </w:r>
      <w:proofErr w:type="gramEnd"/>
      <w:r w:rsidRPr="0020293E">
        <w:rPr>
          <w:rFonts w:ascii="宋体" w:eastAsia="宋体" w:hAnsi="宋体" w:cs="Calibri" w:hint="eastAsia"/>
          <w:color w:val="000000"/>
          <w:kern w:val="0"/>
          <w:sz w:val="24"/>
          <w:szCs w:val="24"/>
        </w:rPr>
        <w:t>踏，了解现场实际情况，并进行方案预审；</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（四）对需要验收的危险性较大的分部分项工程，论证专家组应对是否符合专项方案情况进行验收；</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（五）协助建设行政主管部门检查专项方案落实情况；</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（六）在参加论证的分部分项工程发生险情时，为抢险提供技术支持；</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（七）应遵守保密义务，不得泄露在参与项目论证过程中知悉的国家秘密、商业秘密、个人隐私；未经相关部门同意，不得泄露项目论证内容、过程及结果等重要信息；</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（八）按照建设行政主管部门的通知参加危险性较大的分部分项工程安全检查活动；</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（九）工作单位或联络方式变动的，15个工作日内告知市建设科技委办；</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（十）廉洁自律；</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（十一）法律、法规规定的其他义务。</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lastRenderedPageBreak/>
        <w:t>第十条</w:t>
      </w:r>
      <w:r w:rsidRPr="0020293E">
        <w:rPr>
          <w:rFonts w:ascii="宋体" w:eastAsia="宋体" w:hAnsi="宋体" w:cs="Calibri" w:hint="eastAsia"/>
          <w:color w:val="000000"/>
          <w:kern w:val="0"/>
          <w:sz w:val="24"/>
          <w:szCs w:val="24"/>
        </w:rPr>
        <w:t>  专家应以科学、公正的态度参加论证工作，在论证过程中不受任何干扰，独立、负责地提出论证意见，并对自己的论证意见承担责任。专家论证意见的效力应在《危险性较大的分部分项工程安全管理办法》（</w:t>
      </w:r>
      <w:proofErr w:type="gramStart"/>
      <w:r w:rsidRPr="0020293E">
        <w:rPr>
          <w:rFonts w:ascii="宋体" w:eastAsia="宋体" w:hAnsi="宋体" w:cs="Calibri" w:hint="eastAsia"/>
          <w:color w:val="000000"/>
          <w:kern w:val="0"/>
          <w:sz w:val="24"/>
          <w:szCs w:val="24"/>
        </w:rPr>
        <w:t>建质〔2009〕</w:t>
      </w:r>
      <w:proofErr w:type="gramEnd"/>
      <w:r w:rsidRPr="0020293E">
        <w:rPr>
          <w:rFonts w:ascii="宋体" w:eastAsia="宋体" w:hAnsi="宋体" w:cs="Calibri" w:hint="eastAsia"/>
          <w:color w:val="000000"/>
          <w:kern w:val="0"/>
          <w:sz w:val="24"/>
          <w:szCs w:val="24"/>
        </w:rPr>
        <w:t>87号）及《广东省住房和城乡建设厅关于&lt;危险性较大的分部分项工程安全管理办法&gt;的实施细则》（</w:t>
      </w:r>
      <w:proofErr w:type="gramStart"/>
      <w:r w:rsidRPr="0020293E">
        <w:rPr>
          <w:rFonts w:ascii="宋体" w:eastAsia="宋体" w:hAnsi="宋体" w:cs="Calibri" w:hint="eastAsia"/>
          <w:color w:val="000000"/>
          <w:kern w:val="0"/>
          <w:sz w:val="24"/>
          <w:szCs w:val="24"/>
        </w:rPr>
        <w:t>粤建质〔2011〕</w:t>
      </w:r>
      <w:proofErr w:type="gramEnd"/>
      <w:r w:rsidRPr="0020293E">
        <w:rPr>
          <w:rFonts w:ascii="宋体" w:eastAsia="宋体" w:hAnsi="宋体" w:cs="Calibri" w:hint="eastAsia"/>
          <w:color w:val="000000"/>
          <w:kern w:val="0"/>
          <w:sz w:val="24"/>
          <w:szCs w:val="24"/>
        </w:rPr>
        <w:t>13号）的规定范围。</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第十一条</w:t>
      </w:r>
      <w:r w:rsidRPr="0020293E">
        <w:rPr>
          <w:rFonts w:ascii="宋体" w:eastAsia="宋体" w:hAnsi="宋体" w:cs="Calibri" w:hint="eastAsia"/>
          <w:color w:val="000000"/>
          <w:kern w:val="0"/>
          <w:sz w:val="24"/>
          <w:szCs w:val="24"/>
        </w:rPr>
        <w:t> 专家不得参与同自己、任职单位或项目参加单位有经济利益等利害关系的论证活动。具有下列情形之一的，专家应当主动申请回避，论证活动组织单位也可以要求其回避：</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（一）本人、配偶或直系亲属三年内曾在项目参建单位任职或担任顾问，或与项目参建单位发生过法律纠纷的；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（二）可能影响论证工作公正性的其他情形。</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第十二条</w:t>
      </w:r>
      <w:r w:rsidRPr="0020293E">
        <w:rPr>
          <w:rFonts w:ascii="宋体" w:eastAsia="宋体" w:hAnsi="宋体" w:cs="Calibri" w:hint="eastAsia"/>
          <w:color w:val="000000"/>
          <w:kern w:val="0"/>
          <w:sz w:val="24"/>
          <w:szCs w:val="24"/>
        </w:rPr>
        <w:t> 专家有下列情形之一的，市建设科技委办可以暂停专家资格：</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（一）不履行专家义务，1年内无故缺席3次的，暂停专家资格6个月；</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（二）论证结论无法实施或不符合工程实际情况，暂停专家资格6个月；</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（三）论证结论为“修改后通过”，修改意见不明确的，暂停专家资格3个月；</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（四）工作单位或联络方式变动，未在 15日内告知市建设科技委办，经建设行政主管部门、建设工程安全监督机构、市建设科技委办等三次联系仍联系不上的，暂停专家资格6个月。</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第十三条</w:t>
      </w:r>
      <w:r w:rsidRPr="0020293E">
        <w:rPr>
          <w:rFonts w:ascii="宋体" w:eastAsia="宋体" w:hAnsi="宋体" w:cs="Calibri" w:hint="eastAsia"/>
          <w:color w:val="000000"/>
          <w:kern w:val="0"/>
          <w:sz w:val="24"/>
          <w:szCs w:val="24"/>
        </w:rPr>
        <w:t> 专家有下列情形之一的，市建设科技委办可以提前解聘：</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（一）本人主动要求退出专家库的；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（二）丧失民事行为能力的；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（三）提交虚假申请资料的；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（四）找人替代论证的；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（五）在任期内受到行政处分、行政处罚、刑事处罚的；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（六）按本办法第十条规定应当回避而未回避的；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（七）徇私舞弊，获取不正当利益的；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（八）对于超过一定规模的危险性较大的分部分项工程，将不合格的专项方案按照合格专项方案验收，造成安全事故的；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（九）论证结论为“通过”或“修改后通过”，但专项方案违反强制性标准或存在明显安全隐患的；</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lastRenderedPageBreak/>
        <w:t>（十）其他经市建设行政主管部门认定不适宜担任专家的情形。</w:t>
      </w:r>
    </w:p>
    <w:p w:rsidR="0020293E" w:rsidRPr="0020293E" w:rsidRDefault="0020293E" w:rsidP="0020293E">
      <w:pPr>
        <w:widowControl/>
        <w:shd w:val="clear" w:color="auto" w:fill="FFFFFF"/>
        <w:spacing w:line="420" w:lineRule="atLeast"/>
        <w:ind w:firstLine="48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专家有上述行为的，从解聘</w:t>
      </w:r>
      <w:proofErr w:type="gramStart"/>
      <w:r w:rsidRPr="0020293E">
        <w:rPr>
          <w:rFonts w:ascii="宋体" w:eastAsia="宋体" w:hAnsi="宋体" w:cs="Calibri" w:hint="eastAsia"/>
          <w:color w:val="000000"/>
          <w:kern w:val="0"/>
          <w:sz w:val="24"/>
          <w:szCs w:val="24"/>
        </w:rPr>
        <w:t>其专家</w:t>
      </w:r>
      <w:proofErr w:type="gramEnd"/>
      <w:r w:rsidRPr="0020293E">
        <w:rPr>
          <w:rFonts w:ascii="宋体" w:eastAsia="宋体" w:hAnsi="宋体" w:cs="Calibri" w:hint="eastAsia"/>
          <w:color w:val="000000"/>
          <w:kern w:val="0"/>
          <w:sz w:val="24"/>
          <w:szCs w:val="24"/>
        </w:rPr>
        <w:t>资格之日起3年内，不受理</w:t>
      </w:r>
      <w:proofErr w:type="gramStart"/>
      <w:r w:rsidRPr="0020293E">
        <w:rPr>
          <w:rFonts w:ascii="宋体" w:eastAsia="宋体" w:hAnsi="宋体" w:cs="Calibri" w:hint="eastAsia"/>
          <w:color w:val="000000"/>
          <w:kern w:val="0"/>
          <w:sz w:val="24"/>
          <w:szCs w:val="24"/>
        </w:rPr>
        <w:t>其专家</w:t>
      </w:r>
      <w:proofErr w:type="gramEnd"/>
      <w:r w:rsidRPr="0020293E">
        <w:rPr>
          <w:rFonts w:ascii="宋体" w:eastAsia="宋体" w:hAnsi="宋体" w:cs="Calibri" w:hint="eastAsia"/>
          <w:color w:val="000000"/>
          <w:kern w:val="0"/>
          <w:sz w:val="24"/>
          <w:szCs w:val="24"/>
        </w:rPr>
        <w:t>申请。</w:t>
      </w:r>
    </w:p>
    <w:p w:rsidR="0020293E" w:rsidRPr="0020293E" w:rsidRDefault="0020293E" w:rsidP="0020293E">
      <w:pPr>
        <w:widowControl/>
        <w:shd w:val="clear" w:color="auto" w:fill="FFFFFF"/>
        <w:spacing w:line="420" w:lineRule="atLeast"/>
        <w:ind w:left="420" w:firstLine="118"/>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第十四条</w:t>
      </w:r>
      <w:r w:rsidRPr="0020293E">
        <w:rPr>
          <w:rFonts w:ascii="宋体" w:eastAsia="宋体" w:hAnsi="宋体" w:cs="Calibri" w:hint="eastAsia"/>
          <w:color w:val="000000"/>
          <w:kern w:val="0"/>
          <w:sz w:val="24"/>
          <w:szCs w:val="24"/>
        </w:rPr>
        <w:t> 专家在论证工作中如有违纪、失职行为，通</w:t>
      </w:r>
    </w:p>
    <w:p w:rsidR="0020293E" w:rsidRPr="0020293E" w:rsidRDefault="0020293E" w:rsidP="0020293E">
      <w:pPr>
        <w:widowControl/>
        <w:shd w:val="clear" w:color="auto" w:fill="FFFFFF"/>
        <w:spacing w:line="420" w:lineRule="atLeast"/>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报其所在单位和主管部门，情节特别严重的、由有关部门依法处理。</w:t>
      </w:r>
    </w:p>
    <w:p w:rsidR="0020293E" w:rsidRPr="0020293E" w:rsidRDefault="0020293E" w:rsidP="0020293E">
      <w:pPr>
        <w:widowControl/>
        <w:shd w:val="clear" w:color="auto" w:fill="FFFFFF"/>
        <w:spacing w:line="420" w:lineRule="atLeast"/>
        <w:ind w:firstLine="482"/>
        <w:rPr>
          <w:rFonts w:ascii="Calibri" w:eastAsia="宋体" w:hAnsi="Calibri" w:cs="Calibri"/>
          <w:color w:val="333333"/>
          <w:kern w:val="0"/>
          <w:szCs w:val="21"/>
        </w:rPr>
      </w:pPr>
      <w:r w:rsidRPr="0020293E">
        <w:rPr>
          <w:rFonts w:ascii="宋体" w:eastAsia="宋体" w:hAnsi="宋体" w:cs="Calibri" w:hint="eastAsia"/>
          <w:b/>
          <w:bCs/>
          <w:color w:val="000000"/>
          <w:kern w:val="0"/>
          <w:sz w:val="24"/>
          <w:szCs w:val="24"/>
        </w:rPr>
        <w:t>第十五条</w:t>
      </w:r>
      <w:r w:rsidRPr="0020293E">
        <w:rPr>
          <w:rFonts w:ascii="宋体" w:eastAsia="宋体" w:hAnsi="宋体" w:cs="Calibri" w:hint="eastAsia"/>
          <w:color w:val="000000"/>
          <w:kern w:val="0"/>
          <w:sz w:val="24"/>
          <w:szCs w:val="24"/>
        </w:rPr>
        <w:t> 本办法自公布之日起施行，有效期5年。</w:t>
      </w:r>
    </w:p>
    <w:p w:rsidR="0020293E" w:rsidRPr="0020293E" w:rsidRDefault="0020293E" w:rsidP="0020293E">
      <w:pPr>
        <w:widowControl/>
        <w:shd w:val="clear" w:color="auto" w:fill="FFFFFF"/>
        <w:spacing w:line="420" w:lineRule="atLeast"/>
        <w:ind w:firstLine="63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 </w:t>
      </w:r>
    </w:p>
    <w:p w:rsidR="0020293E" w:rsidRPr="0020293E" w:rsidRDefault="0020293E" w:rsidP="0020293E">
      <w:pPr>
        <w:widowControl/>
        <w:shd w:val="clear" w:color="auto" w:fill="FFFFFF"/>
        <w:spacing w:line="420" w:lineRule="atLeast"/>
        <w:ind w:firstLine="63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 </w:t>
      </w:r>
    </w:p>
    <w:p w:rsidR="0020293E" w:rsidRPr="0020293E" w:rsidRDefault="0020293E" w:rsidP="0020293E">
      <w:pPr>
        <w:widowControl/>
        <w:shd w:val="clear" w:color="auto" w:fill="FFFFFF"/>
        <w:spacing w:line="420" w:lineRule="atLeast"/>
        <w:ind w:firstLine="630"/>
        <w:rPr>
          <w:rFonts w:ascii="Calibri" w:eastAsia="宋体" w:hAnsi="Calibri" w:cs="Calibri"/>
          <w:color w:val="333333"/>
          <w:kern w:val="0"/>
          <w:szCs w:val="21"/>
        </w:rPr>
      </w:pPr>
      <w:r w:rsidRPr="0020293E">
        <w:rPr>
          <w:rFonts w:ascii="宋体" w:eastAsia="宋体" w:hAnsi="宋体" w:cs="Calibri" w:hint="eastAsia"/>
          <w:color w:val="000000"/>
          <w:kern w:val="0"/>
          <w:sz w:val="24"/>
          <w:szCs w:val="24"/>
        </w:rPr>
        <w:t> </w:t>
      </w:r>
    </w:p>
    <w:p w:rsidR="00D20BE6" w:rsidRPr="0020293E" w:rsidRDefault="00D20BE6" w:rsidP="0020293E"/>
    <w:sectPr w:rsidR="00D20BE6" w:rsidRPr="0020293E" w:rsidSect="007B04CA">
      <w:footerReference w:type="default" r:id="rId7"/>
      <w:pgSz w:w="12240" w:h="15840" w:code="1"/>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390" w:rsidRDefault="00C52390" w:rsidP="007B04CA">
      <w:r>
        <w:separator/>
      </w:r>
    </w:p>
  </w:endnote>
  <w:endnote w:type="continuationSeparator" w:id="1">
    <w:p w:rsidR="00C52390" w:rsidRDefault="00C52390" w:rsidP="007B04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CA" w:rsidRDefault="00E92B31">
    <w:pPr>
      <w:pStyle w:val="a4"/>
      <w:jc w:val="right"/>
    </w:pPr>
    <w:r>
      <w:fldChar w:fldCharType="begin"/>
    </w:r>
    <w:r w:rsidR="007B04CA">
      <w:instrText xml:space="preserve"> PAGE   \* MERGEFORMAT </w:instrText>
    </w:r>
    <w:r>
      <w:fldChar w:fldCharType="separate"/>
    </w:r>
    <w:r w:rsidR="00AC7BCB" w:rsidRPr="00AC7BCB">
      <w:rPr>
        <w:noProof/>
        <w:lang w:val="zh-CN"/>
      </w:rPr>
      <w:t>1</w:t>
    </w:r>
    <w:r>
      <w:fldChar w:fldCharType="end"/>
    </w:r>
  </w:p>
  <w:p w:rsidR="007B04CA" w:rsidRDefault="007B04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390" w:rsidRDefault="00C52390" w:rsidP="007B04CA">
      <w:r>
        <w:separator/>
      </w:r>
    </w:p>
  </w:footnote>
  <w:footnote w:type="continuationSeparator" w:id="1">
    <w:p w:rsidR="00C52390" w:rsidRDefault="00C52390" w:rsidP="007B0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FEF"/>
    <w:rsid w:val="001363E8"/>
    <w:rsid w:val="00181578"/>
    <w:rsid w:val="001D2129"/>
    <w:rsid w:val="0020293E"/>
    <w:rsid w:val="003838DF"/>
    <w:rsid w:val="00441068"/>
    <w:rsid w:val="0047373B"/>
    <w:rsid w:val="007B04CA"/>
    <w:rsid w:val="008C5978"/>
    <w:rsid w:val="008F17C4"/>
    <w:rsid w:val="00AC7BCB"/>
    <w:rsid w:val="00C52390"/>
    <w:rsid w:val="00C72FEF"/>
    <w:rsid w:val="00D20BE6"/>
    <w:rsid w:val="00D33643"/>
    <w:rsid w:val="00E823DF"/>
    <w:rsid w:val="00E92B31"/>
    <w:rsid w:val="00EA6695"/>
    <w:rsid w:val="00EC3F92"/>
    <w:rsid w:val="00EC5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695"/>
    <w:pPr>
      <w:widowControl w:val="0"/>
      <w:jc w:val="both"/>
    </w:pPr>
  </w:style>
  <w:style w:type="paragraph" w:styleId="1">
    <w:name w:val="heading 1"/>
    <w:basedOn w:val="a"/>
    <w:link w:val="1Char"/>
    <w:uiPriority w:val="9"/>
    <w:qFormat/>
    <w:rsid w:val="00D20B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04CA"/>
    <w:rPr>
      <w:sz w:val="18"/>
      <w:szCs w:val="18"/>
    </w:rPr>
  </w:style>
  <w:style w:type="paragraph" w:styleId="a4">
    <w:name w:val="footer"/>
    <w:basedOn w:val="a"/>
    <w:link w:val="Char0"/>
    <w:uiPriority w:val="99"/>
    <w:unhideWhenUsed/>
    <w:rsid w:val="007B04CA"/>
    <w:pPr>
      <w:tabs>
        <w:tab w:val="center" w:pos="4153"/>
        <w:tab w:val="right" w:pos="8306"/>
      </w:tabs>
      <w:snapToGrid w:val="0"/>
      <w:jc w:val="left"/>
    </w:pPr>
    <w:rPr>
      <w:sz w:val="18"/>
      <w:szCs w:val="18"/>
    </w:rPr>
  </w:style>
  <w:style w:type="character" w:customStyle="1" w:styleId="Char0">
    <w:name w:val="页脚 Char"/>
    <w:basedOn w:val="a0"/>
    <w:link w:val="a4"/>
    <w:uiPriority w:val="99"/>
    <w:rsid w:val="007B04CA"/>
    <w:rPr>
      <w:sz w:val="18"/>
      <w:szCs w:val="18"/>
    </w:rPr>
  </w:style>
  <w:style w:type="paragraph" w:styleId="a5">
    <w:name w:val="Normal (Web)"/>
    <w:basedOn w:val="a"/>
    <w:uiPriority w:val="99"/>
    <w:unhideWhenUsed/>
    <w:rsid w:val="007B04C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B04CA"/>
    <w:rPr>
      <w:color w:val="0000FF"/>
      <w:u w:val="single"/>
    </w:rPr>
  </w:style>
  <w:style w:type="paragraph" w:styleId="a7">
    <w:name w:val="List Paragraph"/>
    <w:basedOn w:val="a"/>
    <w:uiPriority w:val="99"/>
    <w:qFormat/>
    <w:rsid w:val="007B04CA"/>
    <w:pPr>
      <w:ind w:firstLineChars="200" w:firstLine="420"/>
    </w:pPr>
    <w:rPr>
      <w:rFonts w:ascii="Calibri" w:eastAsia="宋体" w:hAnsi="Calibri" w:cs="Times New Roman"/>
      <w:szCs w:val="24"/>
    </w:rPr>
  </w:style>
  <w:style w:type="character" w:customStyle="1" w:styleId="1Char">
    <w:name w:val="标题 1 Char"/>
    <w:basedOn w:val="a0"/>
    <w:link w:val="1"/>
    <w:uiPriority w:val="9"/>
    <w:rsid w:val="00D20BE6"/>
    <w:rPr>
      <w:rFonts w:ascii="宋体" w:eastAsia="宋体" w:hAnsi="宋体" w:cs="宋体"/>
      <w:b/>
      <w:bCs/>
      <w:kern w:val="36"/>
      <w:sz w:val="48"/>
      <w:szCs w:val="48"/>
    </w:rPr>
  </w:style>
  <w:style w:type="character" w:styleId="a8">
    <w:name w:val="Strong"/>
    <w:basedOn w:val="a0"/>
    <w:uiPriority w:val="22"/>
    <w:qFormat/>
    <w:rsid w:val="00D20BE6"/>
    <w:rPr>
      <w:b/>
      <w:bCs/>
    </w:rPr>
  </w:style>
  <w:style w:type="character" w:styleId="a9">
    <w:name w:val="FollowedHyperlink"/>
    <w:basedOn w:val="a0"/>
    <w:uiPriority w:val="99"/>
    <w:semiHidden/>
    <w:unhideWhenUsed/>
    <w:rsid w:val="001D2129"/>
    <w:rPr>
      <w:color w:val="800080"/>
      <w:u w:val="single"/>
    </w:rPr>
  </w:style>
  <w:style w:type="paragraph" w:styleId="aa">
    <w:name w:val="Plain Text"/>
    <w:basedOn w:val="a"/>
    <w:link w:val="Char1"/>
    <w:uiPriority w:val="99"/>
    <w:semiHidden/>
    <w:unhideWhenUsed/>
    <w:rsid w:val="0020293E"/>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a"/>
    <w:uiPriority w:val="99"/>
    <w:semiHidden/>
    <w:rsid w:val="0020293E"/>
    <w:rPr>
      <w:rFonts w:ascii="宋体" w:eastAsia="宋体" w:hAnsi="宋体" w:cs="宋体"/>
      <w:kern w:val="0"/>
      <w:sz w:val="24"/>
      <w:szCs w:val="24"/>
    </w:rPr>
  </w:style>
  <w:style w:type="paragraph" w:customStyle="1" w:styleId="10">
    <w:name w:val="1"/>
    <w:basedOn w:val="a"/>
    <w:rsid w:val="002029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69186">
      <w:bodyDiv w:val="1"/>
      <w:marLeft w:val="0"/>
      <w:marRight w:val="0"/>
      <w:marTop w:val="0"/>
      <w:marBottom w:val="0"/>
      <w:divBdr>
        <w:top w:val="none" w:sz="0" w:space="0" w:color="auto"/>
        <w:left w:val="none" w:sz="0" w:space="0" w:color="auto"/>
        <w:bottom w:val="none" w:sz="0" w:space="0" w:color="auto"/>
        <w:right w:val="none" w:sz="0" w:space="0" w:color="auto"/>
      </w:divBdr>
    </w:div>
    <w:div w:id="225922177">
      <w:bodyDiv w:val="1"/>
      <w:marLeft w:val="0"/>
      <w:marRight w:val="0"/>
      <w:marTop w:val="0"/>
      <w:marBottom w:val="0"/>
      <w:divBdr>
        <w:top w:val="none" w:sz="0" w:space="0" w:color="auto"/>
        <w:left w:val="none" w:sz="0" w:space="0" w:color="auto"/>
        <w:bottom w:val="none" w:sz="0" w:space="0" w:color="auto"/>
        <w:right w:val="none" w:sz="0" w:space="0" w:color="auto"/>
      </w:divBdr>
    </w:div>
    <w:div w:id="477454766">
      <w:bodyDiv w:val="1"/>
      <w:marLeft w:val="0"/>
      <w:marRight w:val="0"/>
      <w:marTop w:val="0"/>
      <w:marBottom w:val="0"/>
      <w:divBdr>
        <w:top w:val="none" w:sz="0" w:space="0" w:color="auto"/>
        <w:left w:val="none" w:sz="0" w:space="0" w:color="auto"/>
        <w:bottom w:val="none" w:sz="0" w:space="0" w:color="auto"/>
        <w:right w:val="none" w:sz="0" w:space="0" w:color="auto"/>
      </w:divBdr>
    </w:div>
    <w:div w:id="734742345">
      <w:bodyDiv w:val="1"/>
      <w:marLeft w:val="0"/>
      <w:marRight w:val="0"/>
      <w:marTop w:val="0"/>
      <w:marBottom w:val="0"/>
      <w:divBdr>
        <w:top w:val="none" w:sz="0" w:space="0" w:color="auto"/>
        <w:left w:val="none" w:sz="0" w:space="0" w:color="auto"/>
        <w:bottom w:val="none" w:sz="0" w:space="0" w:color="auto"/>
        <w:right w:val="none" w:sz="0" w:space="0" w:color="auto"/>
      </w:divBdr>
    </w:div>
    <w:div w:id="1360738336">
      <w:bodyDiv w:val="1"/>
      <w:marLeft w:val="0"/>
      <w:marRight w:val="0"/>
      <w:marTop w:val="0"/>
      <w:marBottom w:val="0"/>
      <w:divBdr>
        <w:top w:val="none" w:sz="0" w:space="0" w:color="auto"/>
        <w:left w:val="none" w:sz="0" w:space="0" w:color="auto"/>
        <w:bottom w:val="none" w:sz="0" w:space="0" w:color="auto"/>
        <w:right w:val="none" w:sz="0" w:space="0" w:color="auto"/>
      </w:divBdr>
    </w:div>
    <w:div w:id="1813600713">
      <w:bodyDiv w:val="1"/>
      <w:marLeft w:val="0"/>
      <w:marRight w:val="0"/>
      <w:marTop w:val="0"/>
      <w:marBottom w:val="0"/>
      <w:divBdr>
        <w:top w:val="none" w:sz="0" w:space="0" w:color="auto"/>
        <w:left w:val="none" w:sz="0" w:space="0" w:color="auto"/>
        <w:bottom w:val="none" w:sz="0" w:space="0" w:color="auto"/>
        <w:right w:val="none" w:sz="0" w:space="0" w:color="auto"/>
      </w:divBdr>
    </w:div>
    <w:div w:id="1860267045">
      <w:bodyDiv w:val="1"/>
      <w:marLeft w:val="0"/>
      <w:marRight w:val="0"/>
      <w:marTop w:val="0"/>
      <w:marBottom w:val="0"/>
      <w:divBdr>
        <w:top w:val="none" w:sz="0" w:space="0" w:color="auto"/>
        <w:left w:val="none" w:sz="0" w:space="0" w:color="auto"/>
        <w:bottom w:val="none" w:sz="0" w:space="0" w:color="auto"/>
        <w:right w:val="none" w:sz="0" w:space="0" w:color="auto"/>
      </w:divBdr>
    </w:div>
    <w:div w:id="2121219726">
      <w:bodyDiv w:val="1"/>
      <w:marLeft w:val="0"/>
      <w:marRight w:val="0"/>
      <w:marTop w:val="0"/>
      <w:marBottom w:val="0"/>
      <w:divBdr>
        <w:top w:val="none" w:sz="0" w:space="0" w:color="auto"/>
        <w:left w:val="none" w:sz="0" w:space="0" w:color="auto"/>
        <w:bottom w:val="none" w:sz="0" w:space="0" w:color="auto"/>
        <w:right w:val="none" w:sz="0" w:space="0" w:color="auto"/>
      </w:divBdr>
    </w:div>
    <w:div w:id="21377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644</Words>
  <Characters>3675</Characters>
  <Application>Microsoft Office Word</Application>
  <DocSecurity>4</DocSecurity>
  <Lines>30</Lines>
  <Paragraphs>8</Paragraphs>
  <ScaleCrop>false</ScaleCrop>
  <Company>Microsoft</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工程质量安全处11/黄志宏</dc:creator>
  <cp:lastModifiedBy>张志华</cp:lastModifiedBy>
  <cp:revision>2</cp:revision>
  <dcterms:created xsi:type="dcterms:W3CDTF">2020-07-17T08:09:00Z</dcterms:created>
  <dcterms:modified xsi:type="dcterms:W3CDTF">2020-07-17T08:09:00Z</dcterms:modified>
</cp:coreProperties>
</file>