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36" w:rsidRPr="00FE3836" w:rsidRDefault="00FE3836" w:rsidP="00FE3836">
      <w:pPr>
        <w:widowControl/>
        <w:shd w:val="clear" w:color="auto" w:fill="FFFFFF"/>
        <w:spacing w:before="100" w:beforeAutospacing="1" w:after="100" w:afterAutospacing="1" w:line="540" w:lineRule="atLeast"/>
        <w:jc w:val="center"/>
        <w:outlineLvl w:val="1"/>
        <w:rPr>
          <w:rFonts w:ascii="微软雅黑" w:eastAsia="微软雅黑" w:hAnsi="微软雅黑" w:cs="宋体"/>
          <w:b/>
          <w:bCs/>
          <w:color w:val="333333"/>
          <w:kern w:val="0"/>
          <w:sz w:val="29"/>
          <w:szCs w:val="29"/>
        </w:rPr>
      </w:pPr>
      <w:r w:rsidRPr="00FE3836">
        <w:rPr>
          <w:rFonts w:ascii="微软雅黑" w:eastAsia="微软雅黑" w:hAnsi="微软雅黑" w:cs="宋体" w:hint="eastAsia"/>
          <w:b/>
          <w:bCs/>
          <w:color w:val="333333"/>
          <w:kern w:val="0"/>
          <w:sz w:val="29"/>
          <w:szCs w:val="29"/>
        </w:rPr>
        <w:t>关于水土保持补偿费等四项非税收入划转税务部门征收的通知</w:t>
      </w:r>
    </w:p>
    <w:p w:rsidR="00FE3836" w:rsidRPr="00FE3836" w:rsidRDefault="00FE3836" w:rsidP="00FE3836">
      <w:pPr>
        <w:widowControl/>
        <w:shd w:val="clear" w:color="auto" w:fill="FFFFFF"/>
        <w:spacing w:before="100" w:beforeAutospacing="1" w:after="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38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　　</w:t>
      </w:r>
    </w:p>
    <w:p w:rsidR="00FE3836" w:rsidRPr="00FE3836" w:rsidRDefault="00FE3836" w:rsidP="00FE3836">
      <w:pPr>
        <w:widowControl/>
        <w:shd w:val="clear" w:color="auto" w:fill="FFFFFF"/>
        <w:spacing w:before="100" w:beforeAutospacing="1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38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bookmarkStart w:id="0" w:name="sendNo"/>
      <w:r w:rsidRPr="00FE38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财税〔2020〕58号</w:t>
      </w:r>
      <w:bookmarkEnd w:id="0"/>
      <w:r w:rsidRPr="00FE38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FE3836" w:rsidRPr="00FE3836" w:rsidRDefault="00FE3836" w:rsidP="00FE3836">
      <w:pPr>
        <w:widowControl/>
        <w:shd w:val="clear" w:color="auto" w:fill="FFFFFF"/>
        <w:spacing w:before="100" w:beforeAutospacing="1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bookmarkStart w:id="1" w:name="toDeptId"/>
      <w:r w:rsidRPr="00FE38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税务总局、水利部、生态环境部、国家人民防空办公室</w:t>
      </w:r>
      <w:bookmarkEnd w:id="1"/>
      <w:r w:rsidRPr="00FE38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p w:rsidR="00FE3836" w:rsidRPr="00FE3836" w:rsidRDefault="00FE3836" w:rsidP="00FE3836">
      <w:pPr>
        <w:widowControl/>
        <w:shd w:val="clear" w:color="auto" w:fill="FFFFFF"/>
        <w:spacing w:before="100" w:beforeAutospacing="1" w:after="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38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为贯彻落实党中央、国务院关于政府非税收入征管职责划转的有关要求，平稳有序推进水土保持补偿费等四项非税收入划转工作，现就有关事项通知如下：</w:t>
      </w:r>
    </w:p>
    <w:p w:rsidR="00FE3836" w:rsidRPr="00FE3836" w:rsidRDefault="00FE3836" w:rsidP="00FE3836">
      <w:pPr>
        <w:widowControl/>
        <w:shd w:val="clear" w:color="auto" w:fill="FFFFFF"/>
        <w:spacing w:before="100" w:beforeAutospacing="1" w:after="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38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一、自2021年1月1日起，将水土保持补偿费、地方水库移民扶持基金、排污权出让收入、防空地下室易地建设费划转至税务部门征收。征期在2021年度、所属期为2020年度的上述收入，收缴及汇算清缴工作继续由原执收（监缴）单位负责。</w:t>
      </w:r>
    </w:p>
    <w:p w:rsidR="00FE3836" w:rsidRPr="00FE3836" w:rsidRDefault="00FE3836" w:rsidP="00FE3836">
      <w:pPr>
        <w:widowControl/>
        <w:shd w:val="clear" w:color="auto" w:fill="FFFFFF"/>
        <w:spacing w:before="100" w:beforeAutospacing="1" w:after="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38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二、上述非税收入划转至税务部门征收后，以前年度应缴未缴的收入，由税务部门负责征缴入库。</w:t>
      </w:r>
    </w:p>
    <w:p w:rsidR="00FE3836" w:rsidRPr="00FE3836" w:rsidRDefault="00FE3836" w:rsidP="00FE3836">
      <w:pPr>
        <w:widowControl/>
        <w:shd w:val="clear" w:color="auto" w:fill="FFFFFF"/>
        <w:spacing w:before="100" w:beforeAutospacing="1" w:after="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38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三、上述非税收入的征收范围、对象、标准、分成、使用等政策继续按照现行规定执行。税务部门应积极履行征收职责，推动降低征缴成本。划转后，各级财政部门不安排代扣代缴、代收代缴和委托代征经费。</w:t>
      </w:r>
    </w:p>
    <w:p w:rsidR="00FE3836" w:rsidRPr="00FE3836" w:rsidRDefault="00FE3836" w:rsidP="00FE3836">
      <w:pPr>
        <w:widowControl/>
        <w:shd w:val="clear" w:color="auto" w:fill="FFFFFF"/>
        <w:spacing w:before="100" w:beforeAutospacing="1" w:after="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38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四、税务部门应按照国库集中收缴制度等有关规定，依法依规开展收入征管工作，确保非税收入及时足额入库。</w:t>
      </w:r>
    </w:p>
    <w:p w:rsidR="00FE3836" w:rsidRPr="00FE3836" w:rsidRDefault="00FE3836" w:rsidP="00FE3836">
      <w:pPr>
        <w:widowControl/>
        <w:shd w:val="clear" w:color="auto" w:fill="FFFFFF"/>
        <w:spacing w:before="100" w:beforeAutospacing="1" w:after="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38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、各级税务部门要会同财政、生态环境、水利、人防等有关部门，按照“便民、高效”的原则，逐项确定职责划转后的经费划转方案和征缴流程，推动办事缴费“一门、一站、一次”办理，不断提高征管效率，优化缴费服务，切实增强缴费人获得感。</w:t>
      </w:r>
    </w:p>
    <w:p w:rsidR="00FE3836" w:rsidRPr="00FE3836" w:rsidRDefault="00FE3836" w:rsidP="00FE3836">
      <w:pPr>
        <w:widowControl/>
        <w:shd w:val="clear" w:color="auto" w:fill="FFFFFF"/>
        <w:spacing w:before="100" w:beforeAutospacing="1" w:after="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38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六、资金入库后需要退库的，按照财政部门有关退库管理规定办理。其中，因缴费人误缴、税务部门误收以及汇算清缴需要退库的，由财政部门授权税务部门审核退库，具体由缴费人直接向税务部门申请办理。</w:t>
      </w:r>
    </w:p>
    <w:p w:rsidR="00FE3836" w:rsidRPr="00FE3836" w:rsidRDefault="00FE3836" w:rsidP="00FE3836">
      <w:pPr>
        <w:widowControl/>
        <w:shd w:val="clear" w:color="auto" w:fill="FFFFFF"/>
        <w:spacing w:before="100" w:beforeAutospacing="1" w:after="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38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七、各地税务部门要会同财政、生态环境、水利、人防等有关部门做好业务交接衔接和信息系统互联互通工作，及时实现征管信息实时共享，并将计征、缴款等明细信息通过互联互通系统传递给财政等相关部门。同时，向财政部门报送征收情况，并附文字说明材料。</w:t>
      </w:r>
    </w:p>
    <w:p w:rsidR="00FE3836" w:rsidRPr="00FE3836" w:rsidRDefault="00FE3836" w:rsidP="00FE3836">
      <w:pPr>
        <w:widowControl/>
        <w:shd w:val="clear" w:color="auto" w:fill="FFFFFF"/>
        <w:spacing w:before="100" w:beforeAutospacing="1" w:after="6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38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财 政 部</w:t>
      </w:r>
    </w:p>
    <w:p w:rsidR="00FE3836" w:rsidRPr="00FE3836" w:rsidRDefault="00FE3836" w:rsidP="00FE3836">
      <w:pPr>
        <w:widowControl/>
        <w:shd w:val="clear" w:color="auto" w:fill="FFFFFF"/>
        <w:spacing w:before="100" w:beforeAutospacing="1" w:after="6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38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2020年12月4日</w:t>
      </w:r>
    </w:p>
    <w:p w:rsidR="00587AAA" w:rsidRDefault="00587AAA"/>
    <w:sectPr w:rsidR="00587AAA" w:rsidSect="0058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3836"/>
    <w:rsid w:val="00587AAA"/>
    <w:rsid w:val="00FE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E383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E3836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2020-12-11T07:05:00Z</dcterms:created>
  <dcterms:modified xsi:type="dcterms:W3CDTF">2020-12-11T07:06:00Z</dcterms:modified>
</cp:coreProperties>
</file>