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ascii="黑体" w:hAnsi="黑体" w:eastAsia="黑体" w:cs="仿宋_GB2312"/>
          <w:sz w:val="32"/>
          <w:szCs w:val="32"/>
        </w:rPr>
      </w:pPr>
      <w:bookmarkStart w:id="0" w:name="_GoBack"/>
      <w:bookmarkEnd w:id="0"/>
      <w:r>
        <w:rPr>
          <w:rFonts w:hint="eastAsia" w:ascii="黑体" w:hAnsi="黑体" w:eastAsia="黑体" w:cs="仿宋_GB2312"/>
          <w:sz w:val="32"/>
          <w:szCs w:val="32"/>
        </w:rPr>
        <w:t>附件：</w:t>
      </w: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《广州市无障碍环境建设发展规划（2021-2035）》（征求公众意见稿）</w:t>
      </w: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公众意见采纳情况表</w:t>
      </w:r>
    </w:p>
    <w:p>
      <w:pPr>
        <w:jc w:val="center"/>
        <w:rPr>
          <w:rFonts w:eastAsia="方正小标宋_GBK"/>
          <w:kern w:val="0"/>
          <w:sz w:val="44"/>
          <w:szCs w:val="44"/>
          <w:lang w:val="zh-CN"/>
        </w:rPr>
      </w:pPr>
    </w:p>
    <w:tbl>
      <w:tblPr>
        <w:tblStyle w:val="7"/>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992"/>
        <w:gridCol w:w="5954"/>
        <w:gridCol w:w="709"/>
        <w:gridCol w:w="5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trPr>
        <w:tc>
          <w:tcPr>
            <w:tcW w:w="596" w:type="dxa"/>
            <w:vAlign w:val="center"/>
          </w:tcPr>
          <w:p>
            <w:pPr>
              <w:widowControl/>
              <w:spacing w:line="360" w:lineRule="exact"/>
              <w:jc w:val="center"/>
              <w:rPr>
                <w:rFonts w:eastAsia="黑体"/>
                <w:kern w:val="0"/>
                <w:sz w:val="24"/>
              </w:rPr>
            </w:pPr>
            <w:r>
              <w:rPr>
                <w:rFonts w:eastAsia="黑体"/>
                <w:kern w:val="0"/>
                <w:sz w:val="24"/>
              </w:rPr>
              <w:t>序号</w:t>
            </w:r>
          </w:p>
        </w:tc>
        <w:tc>
          <w:tcPr>
            <w:tcW w:w="992" w:type="dxa"/>
            <w:vAlign w:val="center"/>
          </w:tcPr>
          <w:p>
            <w:pPr>
              <w:widowControl/>
              <w:spacing w:line="360" w:lineRule="exact"/>
              <w:jc w:val="center"/>
              <w:rPr>
                <w:rFonts w:eastAsia="黑体"/>
                <w:kern w:val="0"/>
                <w:sz w:val="24"/>
              </w:rPr>
            </w:pPr>
            <w:r>
              <w:rPr>
                <w:rFonts w:hint="eastAsia" w:eastAsia="黑体"/>
                <w:kern w:val="0"/>
                <w:sz w:val="24"/>
              </w:rPr>
              <w:t>单位/个人</w:t>
            </w:r>
          </w:p>
        </w:tc>
        <w:tc>
          <w:tcPr>
            <w:tcW w:w="5954" w:type="dxa"/>
            <w:vAlign w:val="center"/>
          </w:tcPr>
          <w:p>
            <w:pPr>
              <w:widowControl/>
              <w:spacing w:line="360" w:lineRule="exact"/>
              <w:jc w:val="center"/>
              <w:rPr>
                <w:rFonts w:eastAsia="黑体"/>
                <w:kern w:val="0"/>
                <w:sz w:val="24"/>
              </w:rPr>
            </w:pPr>
            <w:r>
              <w:rPr>
                <w:rFonts w:eastAsia="黑体"/>
                <w:kern w:val="0"/>
                <w:sz w:val="24"/>
              </w:rPr>
              <w:t>反馈意见及建议</w:t>
            </w:r>
          </w:p>
        </w:tc>
        <w:tc>
          <w:tcPr>
            <w:tcW w:w="709" w:type="dxa"/>
            <w:vAlign w:val="center"/>
          </w:tcPr>
          <w:p>
            <w:pPr>
              <w:widowControl/>
              <w:spacing w:line="360" w:lineRule="exact"/>
              <w:jc w:val="center"/>
              <w:rPr>
                <w:rFonts w:eastAsia="黑体"/>
                <w:kern w:val="0"/>
                <w:sz w:val="24"/>
              </w:rPr>
            </w:pPr>
            <w:r>
              <w:rPr>
                <w:rFonts w:eastAsia="黑体"/>
                <w:kern w:val="0"/>
                <w:sz w:val="24"/>
              </w:rPr>
              <w:t>采纳</w:t>
            </w:r>
          </w:p>
          <w:p>
            <w:pPr>
              <w:widowControl/>
              <w:spacing w:line="360" w:lineRule="exact"/>
              <w:jc w:val="center"/>
              <w:rPr>
                <w:rFonts w:eastAsia="黑体"/>
                <w:kern w:val="0"/>
                <w:sz w:val="24"/>
              </w:rPr>
            </w:pPr>
            <w:r>
              <w:rPr>
                <w:rFonts w:eastAsia="黑体"/>
                <w:kern w:val="0"/>
                <w:sz w:val="24"/>
              </w:rPr>
              <w:t>情况</w:t>
            </w:r>
          </w:p>
        </w:tc>
        <w:tc>
          <w:tcPr>
            <w:tcW w:w="5783" w:type="dxa"/>
            <w:vAlign w:val="center"/>
          </w:tcPr>
          <w:p>
            <w:pPr>
              <w:widowControl/>
              <w:spacing w:line="360" w:lineRule="exact"/>
              <w:jc w:val="center"/>
              <w:rPr>
                <w:rFonts w:eastAsia="黑体"/>
                <w:kern w:val="0"/>
                <w:sz w:val="24"/>
              </w:rPr>
            </w:pPr>
            <w:r>
              <w:rPr>
                <w:rFonts w:eastAsia="黑体"/>
                <w:kern w:val="0"/>
                <w:sz w:val="24"/>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trPr>
        <w:tc>
          <w:tcPr>
            <w:tcW w:w="596" w:type="dxa"/>
            <w:vAlign w:val="center"/>
          </w:tcPr>
          <w:p>
            <w:pPr>
              <w:widowControl/>
              <w:jc w:val="center"/>
              <w:rPr>
                <w:kern w:val="0"/>
                <w:sz w:val="24"/>
              </w:rPr>
            </w:pPr>
            <w:r>
              <w:rPr>
                <w:kern w:val="0"/>
                <w:sz w:val="24"/>
              </w:rPr>
              <w:t>1</w:t>
            </w:r>
          </w:p>
        </w:tc>
        <w:tc>
          <w:tcPr>
            <w:tcW w:w="992" w:type="dxa"/>
            <w:vMerge w:val="restart"/>
            <w:vAlign w:val="center"/>
          </w:tcPr>
          <w:p>
            <w:pPr>
              <w:widowControl/>
              <w:spacing w:line="320" w:lineRule="exact"/>
              <w:jc w:val="center"/>
              <w:rPr>
                <w:rFonts w:eastAsia="仿宋_GB2312"/>
                <w:b/>
                <w:kern w:val="0"/>
                <w:sz w:val="24"/>
              </w:rPr>
            </w:pPr>
            <w:r>
              <w:rPr>
                <w:rFonts w:hint="eastAsia" w:eastAsia="仿宋_GB2312"/>
                <w:b/>
                <w:kern w:val="0"/>
                <w:sz w:val="24"/>
              </w:rPr>
              <w:t>张女士</w:t>
            </w:r>
          </w:p>
        </w:tc>
        <w:tc>
          <w:tcPr>
            <w:tcW w:w="5954" w:type="dxa"/>
            <w:vAlign w:val="center"/>
          </w:tcPr>
          <w:p>
            <w:pPr>
              <w:widowControl/>
              <w:jc w:val="left"/>
              <w:rPr>
                <w:rFonts w:eastAsia="仿宋_GB2312"/>
                <w:kern w:val="0"/>
                <w:sz w:val="24"/>
              </w:rPr>
            </w:pPr>
            <w:r>
              <w:rPr>
                <w:rFonts w:hint="eastAsia" w:eastAsia="仿宋_GB2312"/>
                <w:kern w:val="0"/>
                <w:sz w:val="24"/>
              </w:rPr>
              <w:t>请问有没有考虑轮椅如何上车。</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依据《广东省实施〈中华人民共和国残疾人保障法〉办法》“城市的公共汽车、轨道交通车辆和出租车运营单位应当配置一定比例的无障碍车辆或者设施。”此外，在规划中也将落实“公交企业在更换或新增公交车辆时，应优先选取无障碍低地板城市客车车型，逐步提高公共汽（电）车中无障碍车辆配置占比”相关内容，保障轮椅使用者顺畅使用公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96" w:type="dxa"/>
            <w:vAlign w:val="center"/>
          </w:tcPr>
          <w:p>
            <w:pPr>
              <w:widowControl/>
              <w:jc w:val="center"/>
              <w:rPr>
                <w:kern w:val="0"/>
                <w:sz w:val="24"/>
              </w:rPr>
            </w:pPr>
            <w:r>
              <w:rPr>
                <w:rFonts w:hint="eastAsia"/>
                <w:kern w:val="0"/>
                <w:sz w:val="24"/>
              </w:rPr>
              <w:t>2</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如果所有地铁只有一个无障碍出入口，有天桥没有电梯，请问怎么办？</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本规划提出的“系统化闭环设计”理念，目的在于实现无障碍设施建设、无障碍信息交流、无障碍共享服务的由“点”到 “线和面”的全面提升，以此加强无障碍设施接驳的连贯性。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596" w:type="dxa"/>
            <w:vAlign w:val="center"/>
          </w:tcPr>
          <w:p>
            <w:pPr>
              <w:widowControl/>
              <w:jc w:val="center"/>
              <w:rPr>
                <w:kern w:val="0"/>
                <w:sz w:val="24"/>
              </w:rPr>
            </w:pPr>
            <w:r>
              <w:rPr>
                <w:rFonts w:hint="eastAsia"/>
                <w:kern w:val="0"/>
                <w:sz w:val="24"/>
              </w:rPr>
              <w:t>3</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地铁内的无障碍路线，请问规划合理吗？站内沟通途径顺畅吗？盲道符合国际标准吗？</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已在规划文本中明确地铁站厅要素、站台要素、标识要素等的无障碍设计规范，关于站台的无障碍路径、盲道设置等均有相关规范参考，如21</w:t>
            </w:r>
            <w:r>
              <w:rPr>
                <w:rFonts w:eastAsia="仿宋_GB2312"/>
                <w:kern w:val="0"/>
                <w:sz w:val="24"/>
              </w:rPr>
              <w:t>BJ12-1</w:t>
            </w:r>
            <w:r>
              <w:rPr>
                <w:rFonts w:hint="eastAsia" w:eastAsia="仿宋_GB2312"/>
                <w:kern w:val="0"/>
                <w:sz w:val="24"/>
              </w:rPr>
              <w:t>《无障碍设施》图集等。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596" w:type="dxa"/>
            <w:vAlign w:val="center"/>
          </w:tcPr>
          <w:p>
            <w:pPr>
              <w:widowControl/>
              <w:jc w:val="center"/>
              <w:rPr>
                <w:kern w:val="0"/>
                <w:sz w:val="24"/>
              </w:rPr>
            </w:pPr>
            <w:r>
              <w:rPr>
                <w:rFonts w:hint="eastAsia"/>
                <w:kern w:val="0"/>
                <w:sz w:val="24"/>
              </w:rPr>
              <w:t>4</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请问斜坡都符合无障碍规范吗？真的可以去大多数地方吗？</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广州老城区的存量设施确实存在破损率高、建设不达标的情况，为了改善无障碍环境，本规划提出：“重点对人行道、人行过街天桥等进行无障碍设施改造提升，2025年前新建道路通达率100%，既有道路无障碍改造达标率80%”的相关要求，以保障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96" w:type="dxa"/>
            <w:vAlign w:val="center"/>
          </w:tcPr>
          <w:p>
            <w:pPr>
              <w:widowControl/>
              <w:jc w:val="center"/>
              <w:rPr>
                <w:kern w:val="0"/>
                <w:sz w:val="24"/>
              </w:rPr>
            </w:pPr>
            <w:r>
              <w:rPr>
                <w:rFonts w:hint="eastAsia"/>
                <w:kern w:val="0"/>
                <w:sz w:val="24"/>
              </w:rPr>
              <w:t>5</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请问政府单位，银行都实现低位台了吗？那些取号机呢？</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广州银行机构在银保监部门及中国银行业协会的指导下，已经有序开展银行网点无障碍环境建设，并出台《银行无障碍环境建设标准》，其5.10条款有“银行营业网点应在大堂服务台、封闭式及开放式柜台窗口等处设置低位服务柜台；银行营业网点应在电子银行体验台、填单台、便民服务台、自助银行、客服电话等处设置低位服务设施，以有利于乘坐轮椅人士使用各类银行服务设施。”的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96" w:type="dxa"/>
            <w:vAlign w:val="center"/>
          </w:tcPr>
          <w:p>
            <w:pPr>
              <w:widowControl/>
              <w:jc w:val="center"/>
              <w:rPr>
                <w:kern w:val="0"/>
                <w:sz w:val="24"/>
              </w:rPr>
            </w:pPr>
            <w:r>
              <w:rPr>
                <w:rFonts w:hint="eastAsia"/>
                <w:kern w:val="0"/>
                <w:sz w:val="24"/>
              </w:rPr>
              <w:t>6</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请问古迹建无障碍厕所问题？（建议加强公共场所的无障碍厕所建设）。</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对于存量设施，在规划中有“对城市广场、公园、绿地、历史文物保护建筑、风景名胜区等实施无障碍改造，重点对出入口、无障碍游览路线所属各类服务设施的盲道、无障碍卫生间（无障碍厕位）、无障碍标志等进行改造”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96" w:type="dxa"/>
            <w:vAlign w:val="center"/>
          </w:tcPr>
          <w:p>
            <w:pPr>
              <w:widowControl/>
              <w:jc w:val="center"/>
              <w:rPr>
                <w:kern w:val="0"/>
                <w:sz w:val="24"/>
              </w:rPr>
            </w:pPr>
            <w:r>
              <w:rPr>
                <w:rFonts w:hint="eastAsia"/>
                <w:kern w:val="0"/>
                <w:sz w:val="24"/>
              </w:rPr>
              <w:t>7</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除了不扰民，能不能考虑一下视障人士的感受，他们只是过马路，不需要被行注目礼，（建议学习）香港的红绿灯，与场景音保持一致，是不是更合理一些。</w:t>
            </w:r>
          </w:p>
        </w:tc>
        <w:tc>
          <w:tcPr>
            <w:tcW w:w="709" w:type="dxa"/>
            <w:vAlign w:val="center"/>
          </w:tcPr>
          <w:p>
            <w:pPr>
              <w:widowControl/>
              <w:jc w:val="left"/>
              <w:rPr>
                <w:rFonts w:eastAsia="仿宋_GB2312"/>
                <w:kern w:val="0"/>
                <w:sz w:val="24"/>
              </w:rPr>
            </w:pPr>
            <w:r>
              <w:rPr>
                <w:rFonts w:hint="eastAsia" w:eastAsia="仿宋_GB2312"/>
                <w:kern w:val="0"/>
                <w:sz w:val="24"/>
              </w:rPr>
              <w:t>部分采纳</w:t>
            </w:r>
          </w:p>
        </w:tc>
        <w:tc>
          <w:tcPr>
            <w:tcW w:w="5783" w:type="dxa"/>
            <w:vAlign w:val="center"/>
          </w:tcPr>
          <w:p>
            <w:pPr>
              <w:widowControl/>
              <w:jc w:val="left"/>
              <w:rPr>
                <w:rFonts w:eastAsia="仿宋_GB2312"/>
                <w:kern w:val="0"/>
                <w:sz w:val="24"/>
              </w:rPr>
            </w:pPr>
            <w:r>
              <w:rPr>
                <w:rFonts w:hint="eastAsia" w:eastAsia="仿宋_GB2312"/>
                <w:kern w:val="0"/>
                <w:sz w:val="24"/>
              </w:rPr>
              <w:t>已根据国家强制性标准《建筑与市政工程无障碍通用规范》(GB55019-2021)中对“过街音响提示装置”的相关技术要求，在规划编制列明相关内容。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96" w:type="dxa"/>
            <w:vAlign w:val="center"/>
          </w:tcPr>
          <w:p>
            <w:pPr>
              <w:widowControl/>
              <w:jc w:val="center"/>
              <w:rPr>
                <w:kern w:val="0"/>
                <w:sz w:val="24"/>
              </w:rPr>
            </w:pPr>
            <w:r>
              <w:rPr>
                <w:rFonts w:hint="eastAsia"/>
                <w:kern w:val="0"/>
                <w:sz w:val="24"/>
              </w:rPr>
              <w:t>8</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一个连附近的无障碍厕所都找不到的地图，不知道有多大作用。</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已在规划中明确“以物联网和人工智能等技术为支撑，探索建设全市无障碍督导信息管理平台，为无障碍城市治理信息化服务。指导市场力量推进无障碍地图试点工作，推动利用三维实景。”相关要求。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96" w:type="dxa"/>
            <w:vAlign w:val="center"/>
          </w:tcPr>
          <w:p>
            <w:pPr>
              <w:widowControl/>
              <w:jc w:val="center"/>
              <w:rPr>
                <w:kern w:val="0"/>
                <w:sz w:val="24"/>
              </w:rPr>
            </w:pPr>
            <w:r>
              <w:rPr>
                <w:rFonts w:hint="eastAsia"/>
                <w:kern w:val="0"/>
                <w:sz w:val="24"/>
              </w:rPr>
              <w:t>9</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建议推广这种栏杆（不锈钢护栏挡车桩），既可以阻挡电动车，同时又方便轮椅通过。</w:t>
            </w:r>
          </w:p>
        </w:tc>
        <w:tc>
          <w:tcPr>
            <w:tcW w:w="709" w:type="dxa"/>
            <w:vAlign w:val="center"/>
          </w:tcPr>
          <w:p>
            <w:pPr>
              <w:widowControl/>
              <w:jc w:val="left"/>
              <w:rPr>
                <w:rFonts w:eastAsia="仿宋_GB2312"/>
                <w:kern w:val="0"/>
                <w:sz w:val="24"/>
              </w:rPr>
            </w:pPr>
            <w:r>
              <w:rPr>
                <w:rFonts w:hint="eastAsia" w:eastAsia="仿宋_GB2312"/>
                <w:kern w:val="0"/>
                <w:sz w:val="24"/>
              </w:rPr>
              <w:t>部分采纳</w:t>
            </w:r>
          </w:p>
        </w:tc>
        <w:tc>
          <w:tcPr>
            <w:tcW w:w="5783" w:type="dxa"/>
            <w:vAlign w:val="center"/>
          </w:tcPr>
          <w:p>
            <w:pPr>
              <w:widowControl/>
              <w:jc w:val="left"/>
              <w:rPr>
                <w:rFonts w:eastAsia="仿宋_GB2312"/>
                <w:kern w:val="0"/>
                <w:sz w:val="24"/>
              </w:rPr>
            </w:pPr>
            <w:r>
              <w:rPr>
                <w:rFonts w:hint="eastAsia" w:eastAsia="仿宋_GB2312"/>
                <w:kern w:val="0"/>
                <w:sz w:val="24"/>
              </w:rPr>
              <w:t>已根据国家强制性标准《建筑与市政工程无障碍通用规范》(GB55019-2021)中对防止车辆驶入人行道范围的阻车桩等相关要求，在规划编制列明相关内容。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96" w:type="dxa"/>
            <w:vAlign w:val="center"/>
          </w:tcPr>
          <w:p>
            <w:pPr>
              <w:widowControl/>
              <w:jc w:val="center"/>
              <w:rPr>
                <w:kern w:val="0"/>
                <w:sz w:val="24"/>
              </w:rPr>
            </w:pPr>
            <w:r>
              <w:rPr>
                <w:rFonts w:hint="eastAsia"/>
                <w:kern w:val="0"/>
                <w:sz w:val="24"/>
              </w:rPr>
              <w:t>10</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 xml:space="preserve">广州旧有地铁站很多都没有直梯，设置的是牵引梯，这些牵引梯耗时又需要地铁工作人员专门操作，不方便轮椅乘客出入，建议在条件允许情况下增设直梯；建议将资金投入到需求更紧迫的地方，如南村万博地铁站，番禺广场地铁站。 </w:t>
            </w:r>
            <w:r>
              <w:rPr>
                <w:rFonts w:eastAsia="仿宋_GB2312"/>
                <w:kern w:val="0"/>
                <w:sz w:val="24"/>
              </w:rPr>
              <w:t xml:space="preserve">     </w:t>
            </w:r>
            <w:r>
              <w:t xml:space="preserve"> </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在规划中明确“保障新建轨道站点内配置无障碍厕所，对现有地铁站出入口、无障碍电梯、无障碍卫生间、低位服务设施、无障碍引导标识等进一步改造完善，梳理有条件改造的地铁站点无障碍设施，2025年前完成有条件改造设施总量的80%”的相关表述，未来将对现有地铁站点进行无障碍设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96" w:type="dxa"/>
            <w:vAlign w:val="center"/>
          </w:tcPr>
          <w:p>
            <w:pPr>
              <w:widowControl/>
              <w:jc w:val="center"/>
              <w:rPr>
                <w:kern w:val="0"/>
                <w:sz w:val="24"/>
              </w:rPr>
            </w:pPr>
            <w:r>
              <w:rPr>
                <w:rFonts w:hint="eastAsia"/>
                <w:kern w:val="0"/>
                <w:sz w:val="24"/>
              </w:rPr>
              <w:t>11</w:t>
            </w:r>
          </w:p>
        </w:tc>
        <w:tc>
          <w:tcPr>
            <w:tcW w:w="992" w:type="dxa"/>
            <w:vMerge w:val="restart"/>
            <w:vAlign w:val="center"/>
          </w:tcPr>
          <w:p>
            <w:pPr>
              <w:widowControl/>
              <w:spacing w:line="320" w:lineRule="exact"/>
              <w:jc w:val="left"/>
              <w:rPr>
                <w:rFonts w:eastAsia="仿宋_GB2312"/>
                <w:b/>
                <w:kern w:val="0"/>
                <w:sz w:val="24"/>
              </w:rPr>
            </w:pPr>
            <w:r>
              <w:rPr>
                <w:rFonts w:hint="eastAsia" w:eastAsia="仿宋_GB2312"/>
                <w:b/>
                <w:kern w:val="0"/>
                <w:sz w:val="24"/>
              </w:rPr>
              <w:t>郭先生</w:t>
            </w:r>
          </w:p>
        </w:tc>
        <w:tc>
          <w:tcPr>
            <w:tcW w:w="5954" w:type="dxa"/>
            <w:vAlign w:val="center"/>
          </w:tcPr>
          <w:p>
            <w:pPr>
              <w:widowControl/>
              <w:rPr>
                <w:rFonts w:eastAsia="仿宋_GB2312"/>
                <w:kern w:val="0"/>
                <w:sz w:val="24"/>
              </w:rPr>
            </w:pPr>
            <w:r>
              <w:rPr>
                <w:rFonts w:hint="eastAsia" w:eastAsia="仿宋_GB2312"/>
                <w:kern w:val="0"/>
                <w:sz w:val="24"/>
              </w:rPr>
              <w:t>建议公共交通除了站场无障碍之外，增加公交车无障碍的内容或章节。包括公交车应该增设车外语音播报信息。例如让视力障碍市民获知到站车辆信息；另外公交车与站台的接驳可以考虑逐步更换电动的伸缩接驳板，方便轮椅使用者上车。</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规划已包含关于公交车站台、公共交通信息交流无障碍、智慧公交建设等内容，在规划中也将落实“公交企业在更换或新增公交车辆时，应优先选取无障碍低地板城市客车车型，逐步提高公共汽（电）车中无障碍车辆配置占比”的相关要求。此外，依据《广东省实施〈中华人民共和国残疾人保障法〉办法》第六十五条内容，“城市的公共汽车、轨道交通车辆和出租车运营单位应当配置一定比例的无障碍车辆或者设施。公共汽车和轨道交通车辆应当逐步安装字幕、语音报站装置和供视力障碍者识别的车辆导盲系统”，以方便视力障碍市民获知到站车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596" w:type="dxa"/>
            <w:vAlign w:val="center"/>
          </w:tcPr>
          <w:p>
            <w:pPr>
              <w:widowControl/>
              <w:jc w:val="center"/>
              <w:rPr>
                <w:kern w:val="0"/>
                <w:sz w:val="24"/>
              </w:rPr>
            </w:pPr>
            <w:r>
              <w:rPr>
                <w:rFonts w:hint="eastAsia"/>
                <w:kern w:val="0"/>
                <w:sz w:val="24"/>
              </w:rPr>
              <w:t>12</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rPr>
                <w:rFonts w:eastAsia="仿宋_GB2312"/>
                <w:kern w:val="0"/>
                <w:sz w:val="24"/>
              </w:rPr>
            </w:pPr>
            <w:r>
              <w:rPr>
                <w:rFonts w:hint="eastAsia" w:eastAsia="仿宋_GB2312"/>
                <w:kern w:val="0"/>
                <w:sz w:val="24"/>
              </w:rPr>
              <w:t>将学校纳入无障碍规划，包括中小学、高等院校，让残疾人可以无障碍就读相关学校。</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在规划中明确“推进全纳教育，以普通学校为特殊教育发展主阵地，优先采用普通学校就读方式，就近安排能接受普通教育的适龄身心障碍少年儿童就读，有效帮助身心障碍少年儿童融入普通学校接受教育。持续增加特殊教育学校数量及学位，优化特殊学校教育空间布局，在2025年前实现义务教育阶段特殊教育儿童入学全覆盖，高中阶段特殊教育入学率超过75%，增加特殊教育教师及从业者数量和收入，加大对现有需求较大的学校校园无障碍设施改造力度，满足不同人群需求”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596" w:type="dxa"/>
            <w:vAlign w:val="center"/>
          </w:tcPr>
          <w:p>
            <w:pPr>
              <w:widowControl/>
              <w:jc w:val="center"/>
              <w:rPr>
                <w:kern w:val="0"/>
                <w:sz w:val="24"/>
              </w:rPr>
            </w:pPr>
            <w:r>
              <w:rPr>
                <w:rFonts w:hint="eastAsia"/>
                <w:kern w:val="0"/>
                <w:sz w:val="24"/>
              </w:rPr>
              <w:t>13</w:t>
            </w:r>
          </w:p>
        </w:tc>
        <w:tc>
          <w:tcPr>
            <w:tcW w:w="992" w:type="dxa"/>
            <w:vMerge w:val="restart"/>
            <w:vAlign w:val="center"/>
          </w:tcPr>
          <w:p>
            <w:pPr>
              <w:widowControl/>
              <w:spacing w:line="320" w:lineRule="exact"/>
              <w:jc w:val="left"/>
              <w:rPr>
                <w:rFonts w:eastAsia="仿宋_GB2312"/>
                <w:b/>
                <w:kern w:val="0"/>
                <w:sz w:val="24"/>
              </w:rPr>
            </w:pPr>
            <w:r>
              <w:rPr>
                <w:rFonts w:eastAsia="仿宋_GB2312"/>
                <w:b/>
                <w:kern w:val="0"/>
                <w:sz w:val="24"/>
              </w:rPr>
              <w:t>61***91@qq.com</w:t>
            </w:r>
          </w:p>
        </w:tc>
        <w:tc>
          <w:tcPr>
            <w:tcW w:w="5954" w:type="dxa"/>
            <w:vAlign w:val="center"/>
          </w:tcPr>
          <w:p>
            <w:pPr>
              <w:widowControl/>
              <w:rPr>
                <w:rFonts w:eastAsia="仿宋_GB2312"/>
                <w:kern w:val="0"/>
                <w:sz w:val="24"/>
              </w:rPr>
            </w:pPr>
            <w:r>
              <w:rPr>
                <w:rFonts w:hint="eastAsia" w:eastAsia="仿宋_GB2312"/>
                <w:kern w:val="0"/>
                <w:sz w:val="24"/>
              </w:rPr>
              <w:t>针对银行和医院等公共场所也应当有无障碍的优化，例如在银行办理业务时，由于残疾人和老年人自身的原因，存在不会或者无法签名的情况，若银行直接拒绝办理业务，建议进行处罚或者监督。在广州市，有三家银行尤其要重视，分别是工商银行（残疾补助）、广州银行（民政低保）、光大银行（医保卡），建议重视此类银行的无障碍设施改造，让残疾人办理业务更省心，例如在银行里设计盲道、斜坡。</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广州银行机构在银保监部门及中国银行业协会的指导下，已经有序开展银行网点无障碍环境建设，并出台《银行无障碍环境建设标准》，其5.10.2管理要求条款有“银行营业网点应配置至少2名具有手语服务能力的服务人员，在大堂服务台张贴手语服务标志，</w:t>
            </w:r>
          </w:p>
          <w:p>
            <w:pPr>
              <w:widowControl/>
              <w:jc w:val="left"/>
              <w:rPr>
                <w:rFonts w:eastAsia="仿宋_GB2312"/>
                <w:kern w:val="0"/>
                <w:sz w:val="24"/>
              </w:rPr>
            </w:pPr>
            <w:r>
              <w:rPr>
                <w:rFonts w:hint="eastAsia" w:eastAsia="仿宋_GB2312"/>
                <w:kern w:val="0"/>
                <w:sz w:val="24"/>
              </w:rPr>
              <w:t>确保与听力残疾客户的交流畅通。”的相关内容；5.12条款有“各个服务区域安装求助呼叫按钮，与大堂服务人员进行联动，由大堂服务人员第一时间前往对应区域向客户提供帮助”的相关要求，以确保残疾人和老年人及时得到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96" w:type="dxa"/>
            <w:vAlign w:val="center"/>
          </w:tcPr>
          <w:p>
            <w:pPr>
              <w:widowControl/>
              <w:jc w:val="center"/>
              <w:rPr>
                <w:kern w:val="0"/>
                <w:sz w:val="24"/>
              </w:rPr>
            </w:pPr>
            <w:r>
              <w:rPr>
                <w:rFonts w:hint="eastAsia"/>
                <w:kern w:val="0"/>
                <w:sz w:val="24"/>
              </w:rPr>
              <w:t>14</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建议为公交场站、残疾人申请的公租房增加语音电梯，例如地铁里的公共电梯。目前只有少数社区才有语音提示，建议为生活困难的视障人群家庭优先加装语音电梯。</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在规划文本中增加“鼓励在老旧小区住宅加装电梯行动中，优先为视障残疾人群居住小区加装语音电梯”。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96" w:type="dxa"/>
            <w:vAlign w:val="center"/>
          </w:tcPr>
          <w:p>
            <w:pPr>
              <w:widowControl/>
              <w:jc w:val="center"/>
              <w:rPr>
                <w:kern w:val="0"/>
                <w:sz w:val="24"/>
              </w:rPr>
            </w:pPr>
            <w:r>
              <w:rPr>
                <w:rFonts w:hint="eastAsia"/>
                <w:kern w:val="0"/>
                <w:sz w:val="24"/>
              </w:rPr>
              <w:t>15</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对马路上乱停放的电动车阻碍残疾人行走、占用盲道等情况进行监督、处罚。</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在规划文本已有“广州将持续完善无障碍督导制度，扩大日常监督-无障碍环境督导队伍范围及人数，并在全市集中开展无障碍环境建设公益诉讼专项监督活动。”的相关表述。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96" w:type="dxa"/>
            <w:vAlign w:val="center"/>
          </w:tcPr>
          <w:p>
            <w:pPr>
              <w:widowControl/>
              <w:jc w:val="center"/>
              <w:rPr>
                <w:kern w:val="0"/>
                <w:sz w:val="24"/>
              </w:rPr>
            </w:pPr>
            <w:r>
              <w:rPr>
                <w:rFonts w:hint="eastAsia"/>
                <w:kern w:val="0"/>
                <w:sz w:val="24"/>
              </w:rPr>
              <w:t>16</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提供针对无障碍的投诉、举报渠道，如12345电话热线、小程序、公众号、app等，方便市民提供照片、视频等证据。</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根据规划，目前“以物联网和人工智能等技术为支撑，探索建设全市无障碍督导信息管理平台，为无障碍城市治理信息化服务。指导市场力量推进无障碍地图试点工作”，后续鼓励在无障碍地图试点基础上增添拍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96" w:type="dxa"/>
            <w:vAlign w:val="center"/>
          </w:tcPr>
          <w:p>
            <w:pPr>
              <w:widowControl/>
              <w:jc w:val="center"/>
              <w:rPr>
                <w:kern w:val="0"/>
                <w:sz w:val="24"/>
              </w:rPr>
            </w:pPr>
            <w:r>
              <w:rPr>
                <w:rFonts w:hint="eastAsia"/>
                <w:kern w:val="0"/>
                <w:sz w:val="24"/>
              </w:rPr>
              <w:t>17</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将12345电话热线关于无障碍问题的投诉纳入优先处理，特别是紧急事情，如残疾人迷路、有交通事故等。</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根据《广东省12345政务服务便民热线管理办法》，“对于咨询类事项，予以即时答复；不能即时答复的，转至承办单位办理”、“</w:t>
            </w:r>
            <w:r>
              <w:rPr>
                <w:rFonts w:hint="eastAsia"/>
              </w:rPr>
              <w:t xml:space="preserve"> </w:t>
            </w:r>
            <w:r>
              <w:rPr>
                <w:rFonts w:hint="eastAsia" w:eastAsia="仿宋_GB2312"/>
                <w:kern w:val="0"/>
                <w:sz w:val="24"/>
              </w:rPr>
              <w:t>对于求助、投诉、举报和意见建议类事项，转至承办单位办理”，对于突发事件，“支持各地级以上市12345热线与110、120、119、122等紧急热线建立联动机制，</w:t>
            </w:r>
            <w:r>
              <w:rPr>
                <w:rFonts w:eastAsia="仿宋_GB2312"/>
                <w:kern w:val="0"/>
                <w:sz w:val="24"/>
              </w:rPr>
              <w:t>…</w:t>
            </w:r>
            <w:r>
              <w:rPr>
                <w:rFonts w:hint="eastAsia" w:eastAsia="仿宋_GB2312"/>
                <w:kern w:val="0"/>
                <w:sz w:val="24"/>
              </w:rPr>
              <w:t>对突发事项清单内的诉求实行快速响应、即时办理”。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96" w:type="dxa"/>
            <w:vAlign w:val="center"/>
          </w:tcPr>
          <w:p>
            <w:pPr>
              <w:widowControl/>
              <w:jc w:val="center"/>
              <w:rPr>
                <w:kern w:val="0"/>
                <w:sz w:val="24"/>
              </w:rPr>
            </w:pPr>
            <w:r>
              <w:rPr>
                <w:rFonts w:hint="eastAsia"/>
                <w:kern w:val="0"/>
                <w:sz w:val="24"/>
              </w:rPr>
              <w:t>18</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对于残疾人辅助器具不应当限制于专门研发残疾用品的公司，对于一些科技公司的产品只要能帮助到残疾人，也应当纳入残疾辅助器具里，如小米科技公司里的生活家电可以用语音遥控或者手机控制家电，可以解决残疾人行动不方便的问题，譬如米加电饭煲等。</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在规划中明确“依托广州市先进制造业,加大对无障碍产品和服务重点企业的扶持力度。打造龙头领军企业和智能产品，鼓励科研机构、企业和社会组织参与辅助器具研发、生产、推广与应用，重点支持无障碍智能交互及出行引导技术、多交互能力机器人、多模态导航定位、智能可穿戴设备等领域”的相关建议，以加强无障碍辅助器具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596" w:type="dxa"/>
            <w:vAlign w:val="center"/>
          </w:tcPr>
          <w:p>
            <w:pPr>
              <w:widowControl/>
              <w:jc w:val="center"/>
              <w:rPr>
                <w:kern w:val="0"/>
                <w:sz w:val="24"/>
              </w:rPr>
            </w:pPr>
            <w:r>
              <w:rPr>
                <w:rFonts w:hint="eastAsia"/>
                <w:kern w:val="0"/>
                <w:sz w:val="24"/>
              </w:rPr>
              <w:t>19</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对于有工作证的导盲犬进入公共场所应当放行而不是阻止，如在公共交通、银行、医院等场所。</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根据《广州市无障碍环境建设管理规定》第二十二条视力残疾人携带导盲犬或者肢体重残人士携带扶助犬出行，应当随身携带相关证件；出入公共场所和乘坐公共交通工具，应当遵守国家、省、市有关规定。任何单位和个人不得阻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96" w:type="dxa"/>
            <w:vAlign w:val="center"/>
          </w:tcPr>
          <w:p>
            <w:pPr>
              <w:widowControl/>
              <w:jc w:val="center"/>
              <w:rPr>
                <w:kern w:val="0"/>
                <w:sz w:val="24"/>
              </w:rPr>
            </w:pPr>
            <w:r>
              <w:rPr>
                <w:rFonts w:hint="eastAsia"/>
                <w:kern w:val="0"/>
                <w:sz w:val="24"/>
              </w:rPr>
              <w:t>20</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在法律方面，设置无障碍协助。</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根据《中华人民共和国残疾人保障法》第六十条，“对有经济困难或者其他原因确需法律援助或者司法救助的残疾人，当地法律援助机构或者人民法院应当给予帮助，依法为其提供法律援助或者司法救助。”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596" w:type="dxa"/>
            <w:vAlign w:val="center"/>
          </w:tcPr>
          <w:p>
            <w:pPr>
              <w:widowControl/>
              <w:jc w:val="center"/>
              <w:rPr>
                <w:kern w:val="0"/>
                <w:sz w:val="24"/>
              </w:rPr>
            </w:pPr>
            <w:r>
              <w:rPr>
                <w:rFonts w:hint="eastAsia"/>
                <w:kern w:val="0"/>
                <w:sz w:val="24"/>
              </w:rPr>
              <w:t>21</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建议设置帮助残疾人招募志愿者的政策。例如残疾人提出需求，12345记录下后，在一定的时间招募残疾人或者街道社工来协助残疾人处理日常困难。</w:t>
            </w:r>
          </w:p>
        </w:tc>
        <w:tc>
          <w:tcPr>
            <w:tcW w:w="709" w:type="dxa"/>
            <w:vAlign w:val="center"/>
          </w:tcPr>
          <w:p>
            <w:pPr>
              <w:widowControl/>
              <w:jc w:val="left"/>
              <w:rPr>
                <w:rFonts w:eastAsia="仿宋_GB2312"/>
                <w:kern w:val="0"/>
                <w:sz w:val="24"/>
              </w:rPr>
            </w:pPr>
            <w:r>
              <w:rPr>
                <w:rFonts w:hint="eastAsia" w:eastAsia="仿宋_GB2312"/>
                <w:kern w:val="0"/>
                <w:sz w:val="24"/>
              </w:rPr>
              <w:t xml:space="preserve">采纳 </w:t>
            </w:r>
          </w:p>
        </w:tc>
        <w:tc>
          <w:tcPr>
            <w:tcW w:w="5783" w:type="dxa"/>
            <w:vAlign w:val="center"/>
          </w:tcPr>
          <w:p>
            <w:pPr>
              <w:widowControl/>
              <w:jc w:val="left"/>
              <w:rPr>
                <w:rFonts w:eastAsia="仿宋_GB2312"/>
                <w:kern w:val="0"/>
                <w:sz w:val="24"/>
              </w:rPr>
            </w:pPr>
            <w:r>
              <w:rPr>
                <w:rFonts w:hint="eastAsia" w:eastAsia="仿宋_GB2312"/>
                <w:kern w:val="0"/>
                <w:sz w:val="24"/>
              </w:rPr>
              <w:t>我市已有较为完善的志愿者招募和管理制度，且各区残疾人综合服务中心、社会组织、协会等均有招募志愿者活动。规划中明确相关管理机构不断加强志愿者对残疾人和无障碍环境建设的支持力度。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96" w:type="dxa"/>
            <w:vAlign w:val="center"/>
          </w:tcPr>
          <w:p>
            <w:pPr>
              <w:widowControl/>
              <w:jc w:val="center"/>
              <w:rPr>
                <w:kern w:val="0"/>
                <w:sz w:val="24"/>
              </w:rPr>
            </w:pPr>
            <w:r>
              <w:rPr>
                <w:rFonts w:hint="eastAsia"/>
                <w:kern w:val="0"/>
                <w:sz w:val="24"/>
              </w:rPr>
              <w:t>22</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建议为视障人群开发远程出行通话帮助的app，例如使用手机的摄像头帮助视障人群了解路牌信息。</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已在规划中明确“2025年，与民生密切相关的手机APP无障碍改造率达95%；2035年改造率达100%”的目标，以帮助残疾人士信息交流无障碍。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96" w:type="dxa"/>
            <w:vAlign w:val="center"/>
          </w:tcPr>
          <w:p>
            <w:pPr>
              <w:widowControl/>
              <w:jc w:val="center"/>
              <w:rPr>
                <w:kern w:val="0"/>
                <w:sz w:val="24"/>
              </w:rPr>
            </w:pPr>
            <w:r>
              <w:rPr>
                <w:rFonts w:hint="eastAsia"/>
                <w:kern w:val="0"/>
                <w:sz w:val="24"/>
              </w:rPr>
              <w:t>23</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对于网络方面，如app、小程序、公众号、网站等，建议开通视频客服协助，例如广州银行的手机视频客服，可以帮助视障人群获取银行卡信息，方便办理业务。</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在规划中明确“与民生密切相关的互联网网站无障碍改造率达95%”、“与民生密切相关的手机APP无障碍改造达95%”等指标。在规划中明确“在2023年12月前全面推进政务服务线上线下全面无障碍融合，实现业务“一张网”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24</w:t>
            </w:r>
          </w:p>
        </w:tc>
        <w:tc>
          <w:tcPr>
            <w:tcW w:w="992" w:type="dxa"/>
            <w:vMerge w:val="restart"/>
            <w:vAlign w:val="center"/>
          </w:tcPr>
          <w:p>
            <w:pPr>
              <w:widowControl/>
              <w:spacing w:line="320" w:lineRule="exact"/>
              <w:jc w:val="left"/>
              <w:rPr>
                <w:rFonts w:eastAsia="仿宋_GB2312"/>
                <w:b/>
                <w:kern w:val="0"/>
                <w:sz w:val="24"/>
              </w:rPr>
            </w:pPr>
            <w:r>
              <w:rPr>
                <w:rFonts w:hint="eastAsia" w:eastAsia="仿宋_GB2312"/>
                <w:b/>
                <w:kern w:val="0"/>
                <w:sz w:val="24"/>
              </w:rPr>
              <w:t>广东省盲人协会</w:t>
            </w:r>
          </w:p>
        </w:tc>
        <w:tc>
          <w:tcPr>
            <w:tcW w:w="5954" w:type="dxa"/>
            <w:vAlign w:val="center"/>
          </w:tcPr>
          <w:p>
            <w:pPr>
              <w:widowControl/>
              <w:jc w:val="left"/>
              <w:rPr>
                <w:rFonts w:eastAsia="仿宋_GB2312"/>
                <w:kern w:val="0"/>
                <w:sz w:val="24"/>
              </w:rPr>
            </w:pPr>
            <w:r>
              <w:rPr>
                <w:rFonts w:hint="eastAsia" w:eastAsia="仿宋_GB2312"/>
                <w:kern w:val="0"/>
                <w:sz w:val="24"/>
              </w:rPr>
              <w:t>第5页“发展指标”下方图文“公交导盲位置”</w:t>
            </w:r>
            <w:r>
              <w:rPr>
                <w:rFonts w:hint="eastAsia"/>
              </w:rPr>
              <w:t xml:space="preserve"> </w:t>
            </w:r>
            <w:r>
              <w:rPr>
                <w:rFonts w:hint="eastAsia" w:eastAsia="仿宋_GB2312"/>
                <w:kern w:val="0"/>
                <w:sz w:val="24"/>
              </w:rPr>
              <w:t>建议修改为：“车辆导盲系统”。</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hint="eastAsia" w:eastAsia="仿宋_GB2312"/>
                <w:kern w:val="0"/>
                <w:sz w:val="24"/>
                <w:lang w:eastAsia="zh-CN"/>
              </w:rPr>
            </w:pPr>
            <w:r>
              <w:rPr>
                <w:rFonts w:hint="eastAsia" w:eastAsia="仿宋_GB2312"/>
                <w:kern w:val="0"/>
                <w:sz w:val="24"/>
              </w:rPr>
              <w:t>依据《广东省实施〈中华人民共和国残疾人保障法〉办法》第六十五条内容，“城市的公共汽车、轨道交通车辆和出租车运营单位应当配置一定比例的无障碍车辆或者设施。公共汽车和轨道交通车辆应当逐步安装字幕、语音报站装置和供视力障碍者识别的车辆导盲系统。”</w:t>
            </w:r>
            <w:r>
              <w:rPr>
                <w:rFonts w:hint="eastAsia" w:eastAsia="仿宋_GB2312"/>
                <w:kern w:val="0"/>
                <w:sz w:val="24"/>
                <w:lang w:eastAsia="zh-CN"/>
              </w:rPr>
              <w:t>，修改相关内容。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25</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第11页“过街提示设施”</w:t>
            </w:r>
            <w:r>
              <w:rPr>
                <w:rFonts w:hint="eastAsia"/>
              </w:rPr>
              <w:t xml:space="preserve"> </w:t>
            </w:r>
            <w:r>
              <w:rPr>
                <w:rFonts w:hint="eastAsia" w:eastAsia="仿宋_GB2312"/>
                <w:kern w:val="0"/>
                <w:sz w:val="24"/>
              </w:rPr>
              <w:t>建议修改为：“过街音响提示装置”。</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hint="eastAsia" w:eastAsia="仿宋_GB2312"/>
                <w:kern w:val="0"/>
                <w:sz w:val="24"/>
                <w:lang w:eastAsia="zh-CN"/>
              </w:rPr>
            </w:pPr>
            <w:r>
              <w:rPr>
                <w:rFonts w:hint="eastAsia" w:eastAsia="仿宋_GB2312"/>
                <w:kern w:val="0"/>
                <w:sz w:val="24"/>
                <w:lang w:eastAsia="zh-CN"/>
              </w:rPr>
              <w:t>依据</w:t>
            </w:r>
            <w:r>
              <w:rPr>
                <w:rFonts w:hint="eastAsia" w:eastAsia="仿宋_GB2312"/>
                <w:kern w:val="0"/>
                <w:sz w:val="24"/>
              </w:rPr>
              <w:t>国家强制性标准《建筑与市政工程无障碍通用规范》(GB55019-2021)中4.0.8描述：“过街音响提示装置”</w:t>
            </w:r>
            <w:r>
              <w:rPr>
                <w:rFonts w:hint="eastAsia" w:eastAsia="仿宋_GB2312"/>
                <w:kern w:val="0"/>
                <w:sz w:val="24"/>
                <w:lang w:eastAsia="zh-CN"/>
              </w:rPr>
              <w:t>，修改相关内容。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596" w:type="dxa"/>
            <w:vAlign w:val="center"/>
          </w:tcPr>
          <w:p>
            <w:pPr>
              <w:widowControl/>
              <w:jc w:val="center"/>
              <w:rPr>
                <w:kern w:val="0"/>
                <w:sz w:val="24"/>
              </w:rPr>
            </w:pPr>
            <w:r>
              <w:rPr>
                <w:rFonts w:hint="eastAsia"/>
                <w:kern w:val="0"/>
                <w:sz w:val="24"/>
              </w:rPr>
              <w:t>26</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第12页“公共交通场站无障碍”中“完善车辆设施盲文标志标识、语音导航和导盲信息化系统，提高公共交通车辆中无障碍车辆占比。盲文标识内容由无障碍环境督导队进行监管督导。”相关表述中的“导盲信息化系统”建议修改为“车辆导盲系统”。</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hint="eastAsia" w:eastAsia="仿宋_GB2312"/>
                <w:kern w:val="0"/>
                <w:sz w:val="24"/>
                <w:lang w:eastAsia="zh-CN"/>
              </w:rPr>
            </w:pPr>
            <w:r>
              <w:rPr>
                <w:rFonts w:hint="eastAsia" w:eastAsia="仿宋_GB2312"/>
                <w:kern w:val="0"/>
                <w:sz w:val="24"/>
              </w:rPr>
              <w:t>依据《广东省实施〈中华人民共和国残疾人保障法〉办法》第六十五条内容，“城市的公共汽车、轨道交通车辆和出租车运营单位应当配置一定比例的无障碍车辆或者设施。公共汽车和轨道交通车辆应当逐步安装字幕、语音报站装置和供视力障碍者识别的车辆导盲系统。”</w:t>
            </w:r>
            <w:r>
              <w:rPr>
                <w:rFonts w:hint="eastAsia" w:eastAsia="仿宋_GB2312"/>
                <w:kern w:val="0"/>
                <w:sz w:val="24"/>
                <w:lang w:eastAsia="zh-CN"/>
              </w:rPr>
              <w:t>，修改相关内容。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27</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第13页“有条件地区的公交站点宜设置电子站牌、电子信息屏，实时显示车辆行驶信息，并配置视障人士公交助乘导盲系统。”中“配置视障人士公交助乘导盲系统。”改为“并配置盲文站牌和视障人士助乘系统”。</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hint="eastAsia" w:eastAsia="仿宋_GB2312"/>
                <w:kern w:val="0"/>
                <w:sz w:val="24"/>
                <w:lang w:eastAsia="zh-CN"/>
              </w:rPr>
            </w:pPr>
            <w:r>
              <w:rPr>
                <w:rFonts w:hint="eastAsia" w:eastAsia="仿宋_GB2312"/>
                <w:kern w:val="0"/>
                <w:sz w:val="24"/>
              </w:rPr>
              <w:t>依据广州市地方标准 DB4401 《公共汽（电）车视障人士助乘系统技术规范》中表述“公共汽（电）车视障人士助乘系统"</w:t>
            </w:r>
            <w:r>
              <w:rPr>
                <w:rFonts w:hint="eastAsia" w:eastAsia="仿宋_GB2312"/>
                <w:kern w:val="0"/>
                <w:sz w:val="24"/>
                <w:lang w:eastAsia="zh-CN"/>
              </w:rPr>
              <w:t>，明确相关内容。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28</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第14页“地铁站内及周边街区应规划设置行进盲道和提示盲道系统。”建议修改为“地铁站内外应规划设置行进盲道和提示盲道系统”；“其盲道系统应与站台层的无障碍电梯出入口直接相连”建议修改为“其盲道系统应与站台层的无障碍电梯和出入口直接相连”；</w:t>
            </w:r>
          </w:p>
          <w:p>
            <w:pPr>
              <w:pStyle w:val="2"/>
              <w:spacing w:line="240" w:lineRule="auto"/>
              <w:ind w:left="0" w:leftChars="0"/>
              <w:rPr>
                <w:rFonts w:eastAsia="仿宋_GB2312"/>
                <w:kern w:val="0"/>
                <w:sz w:val="24"/>
              </w:rPr>
            </w:pPr>
            <w:r>
              <w:rPr>
                <w:rFonts w:hint="eastAsia" w:eastAsia="仿宋_GB2312"/>
                <w:kern w:val="0"/>
                <w:sz w:val="24"/>
              </w:rPr>
              <w:t>“并宜在主要通行节点设置电子标签等智能导示设施”建议修改为“并应在主要通行节点设置盲文标识或电子标签等智能导示设施”。</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hint="eastAsia" w:eastAsia="仿宋_GB2312"/>
                <w:kern w:val="0"/>
                <w:sz w:val="24"/>
                <w:lang w:eastAsia="zh-CN"/>
              </w:rPr>
            </w:pPr>
            <w:r>
              <w:rPr>
                <w:rFonts w:hint="eastAsia" w:eastAsia="仿宋_GB2312"/>
                <w:kern w:val="0"/>
                <w:sz w:val="24"/>
              </w:rPr>
              <w:t>依据国家强制性标准《建筑与市政工程无障碍通用规范》（GB55019-2021）中“4.0.1无障碍标识应纳入室内外环境的标识系统，应连续并清楚地指明无障碍设施的位置和方向。”</w:t>
            </w:r>
            <w:r>
              <w:rPr>
                <w:rFonts w:hint="eastAsia" w:eastAsia="仿宋_GB2312"/>
                <w:kern w:val="0"/>
                <w:sz w:val="24"/>
                <w:lang w:eastAsia="zh-CN"/>
              </w:rPr>
              <w:t>，规范相关表述。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29</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第15页“站台安全闸门前应设置行进盲道和提示盲道，闸门前应设置为老年人、孕妇、残疾人、推婴儿车者提供服务的无障碍优先候车区和相应的无障碍引导标识。”中“站台安全闸门前应设置行进盲道和提示盲道”建议修改为“站台应设置盲道，闸门前应设置提醒盲道”</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hint="eastAsia" w:eastAsia="仿宋_GB2312"/>
                <w:kern w:val="0"/>
                <w:sz w:val="24"/>
                <w:lang w:eastAsia="zh-CN"/>
              </w:rPr>
            </w:pPr>
            <w:r>
              <w:rPr>
                <w:rFonts w:hint="eastAsia" w:eastAsia="仿宋_GB2312"/>
                <w:kern w:val="0"/>
                <w:sz w:val="24"/>
              </w:rPr>
              <w:t>已规范</w:t>
            </w:r>
            <w:r>
              <w:rPr>
                <w:rFonts w:hint="eastAsia" w:eastAsia="仿宋_GB2312"/>
                <w:kern w:val="0"/>
                <w:sz w:val="24"/>
                <w:lang w:eastAsia="zh-CN"/>
              </w:rPr>
              <w:t>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96" w:type="dxa"/>
            <w:vAlign w:val="center"/>
          </w:tcPr>
          <w:p>
            <w:pPr>
              <w:widowControl/>
              <w:jc w:val="center"/>
              <w:rPr>
                <w:kern w:val="0"/>
                <w:sz w:val="24"/>
              </w:rPr>
            </w:pPr>
            <w:r>
              <w:rPr>
                <w:rFonts w:hint="eastAsia"/>
                <w:kern w:val="0"/>
                <w:sz w:val="24"/>
              </w:rPr>
              <w:t>30</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建议新增条目“地铁站内应设置无障碍服务设施，无障碍服务设施应设置盲文标识或电子标签等智能导示设施。”</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依据国家强制性标准《建筑与市政工程无障碍通用规范》（GB55019-2021）中“4无障碍信息交流设施”</w:t>
            </w:r>
            <w:r>
              <w:rPr>
                <w:rFonts w:hint="eastAsia" w:eastAsia="仿宋_GB2312"/>
                <w:kern w:val="0"/>
                <w:sz w:val="24"/>
                <w:lang w:eastAsia="zh-CN"/>
              </w:rPr>
              <w:t>，明确</w:t>
            </w:r>
            <w:r>
              <w:rPr>
                <w:rFonts w:hint="eastAsia" w:eastAsia="仿宋_GB2312"/>
                <w:kern w:val="0"/>
                <w:sz w:val="24"/>
              </w:rPr>
              <w:t>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31</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第25页，“社区内主要室外活动场所设有台阶时，其台阶起止处应设贸提示夜灯、提示标识或提示盲道，应配置具有扶手和靠背的休息座椅。”中“提示夜灯、提示标识或提示盲道”建议修改为“提示夜灯、提示标识和提示盲道”。</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标识与夜灯是给健视或低视力人群使用，提示盲道是给全失明的视障人士使用。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32</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rPr>
                <w:rFonts w:eastAsia="仿宋_GB2312"/>
                <w:kern w:val="0"/>
                <w:sz w:val="24"/>
              </w:rPr>
            </w:pPr>
            <w:r>
              <w:rPr>
                <w:rFonts w:hint="eastAsia" w:eastAsia="仿宋_GB2312"/>
                <w:kern w:val="0"/>
                <w:sz w:val="24"/>
              </w:rPr>
              <w:t>关于第四章公共建筑篇，此篇未提及无障碍设施部分，建议新增：“无障碍洗手间、无障碍低位服务设施、无障碍电梯等无障碍服务设施”；</w:t>
            </w:r>
            <w:r>
              <w:rPr>
                <w:rFonts w:hint="eastAsia"/>
              </w:rPr>
              <w:t xml:space="preserve"> </w:t>
            </w:r>
            <w:r>
              <w:rPr>
                <w:rFonts w:hint="eastAsia" w:eastAsia="仿宋_GB2312"/>
                <w:kern w:val="0"/>
                <w:sz w:val="24"/>
              </w:rPr>
              <w:t>建议新增“听觉信息的辅助服务”相关表述。</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依据国家强制性标准《建筑与市政工程无障碍通用规范》(GB55019-2021)中4. 0. 6中规定“在以视觉信息为主的公共服务中，应提供听觉信息的辅助服务。”</w:t>
            </w:r>
          </w:p>
          <w:p>
            <w:pPr>
              <w:widowControl/>
              <w:jc w:val="left"/>
              <w:rPr>
                <w:rFonts w:eastAsia="仿宋_GB2312"/>
                <w:kern w:val="0"/>
                <w:sz w:val="24"/>
              </w:rPr>
            </w:pPr>
            <w:r>
              <w:rPr>
                <w:rFonts w:hint="eastAsia" w:eastAsia="仿宋_GB2312"/>
                <w:kern w:val="0"/>
                <w:sz w:val="24"/>
              </w:rPr>
              <w:t>具体内容已在第四章进行补充。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33</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关于第五章信息交流篇，“过街音响提示装置：可结合人行横道过街信号灯设置智能过街音响提示装置”，建议修改为“应结合人行横道过街信号灯设置智能过街音响提示装置”</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依据国家强制性标准《建筑与市政工程无障碍通用规范》(GB55019-2021)中“4.0.8过街音响提示装置”</w:t>
            </w:r>
            <w:r>
              <w:rPr>
                <w:rFonts w:hint="eastAsia" w:eastAsia="仿宋_GB2312"/>
                <w:kern w:val="0"/>
                <w:sz w:val="24"/>
                <w:lang w:eastAsia="zh-CN"/>
              </w:rPr>
              <w:t>，明确</w:t>
            </w:r>
            <w:r>
              <w:rPr>
                <w:rFonts w:hint="eastAsia" w:eastAsia="仿宋_GB2312"/>
                <w:kern w:val="0"/>
                <w:sz w:val="24"/>
              </w:rPr>
              <w:t>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34</w:t>
            </w:r>
          </w:p>
        </w:tc>
        <w:tc>
          <w:tcPr>
            <w:tcW w:w="992" w:type="dxa"/>
            <w:vMerge w:val="restart"/>
            <w:vAlign w:val="center"/>
          </w:tcPr>
          <w:p>
            <w:pPr>
              <w:widowControl/>
              <w:spacing w:line="320" w:lineRule="exact"/>
              <w:jc w:val="left"/>
              <w:rPr>
                <w:rFonts w:eastAsia="仿宋_GB2312"/>
                <w:b/>
                <w:kern w:val="0"/>
                <w:sz w:val="24"/>
              </w:rPr>
            </w:pPr>
            <w:r>
              <w:rPr>
                <w:rFonts w:hint="eastAsia" w:eastAsia="仿宋_GB2312"/>
                <w:b/>
                <w:kern w:val="0"/>
                <w:sz w:val="24"/>
              </w:rPr>
              <w:t>杨先生</w:t>
            </w:r>
          </w:p>
        </w:tc>
        <w:tc>
          <w:tcPr>
            <w:tcW w:w="5954" w:type="dxa"/>
            <w:vAlign w:val="center"/>
          </w:tcPr>
          <w:p>
            <w:pPr>
              <w:widowControl/>
              <w:jc w:val="left"/>
              <w:rPr>
                <w:rFonts w:eastAsia="仿宋_GB2312"/>
                <w:kern w:val="0"/>
                <w:sz w:val="24"/>
              </w:rPr>
            </w:pPr>
            <w:r>
              <w:rPr>
                <w:rFonts w:hint="eastAsia" w:eastAsia="仿宋_GB2312"/>
                <w:kern w:val="0"/>
                <w:sz w:val="24"/>
              </w:rPr>
              <w:t>公交站的雨篷是覆瓦型，雨水从两边形成水帘流下会溅湿候车乘客。雨应棚覆盖到人行道边缘，减少乘客遭雨淋的距离。</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在规划文本中明确公交站台要素的无障碍设计规范，关于公交站棚位置设置也有相关案例指引，如21BJ12-1《无障碍设施》图集、《深圳市配建公交首末站设施建设指引》等。将建议公交集团采购形式更合理的公交站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596" w:type="dxa"/>
            <w:vAlign w:val="center"/>
          </w:tcPr>
          <w:p>
            <w:pPr>
              <w:widowControl/>
              <w:jc w:val="center"/>
              <w:rPr>
                <w:kern w:val="0"/>
                <w:sz w:val="24"/>
              </w:rPr>
            </w:pPr>
            <w:r>
              <w:rPr>
                <w:rFonts w:hint="eastAsia"/>
                <w:kern w:val="0"/>
                <w:sz w:val="24"/>
              </w:rPr>
              <w:t>35</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雨天路面形成积水，公交车如果开到靠近人行道，会使积水溅湿乘客，公交车若要避开积水，乘客就要趟水才能上车。把公交站范围的马路边垫高到不积水。</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规划将建议相关部门雨季之前及时疏通雨水口，避免因为疏水不畅引起局部积水难而以上下客的问题。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596" w:type="dxa"/>
            <w:vAlign w:val="center"/>
          </w:tcPr>
          <w:p>
            <w:pPr>
              <w:widowControl/>
              <w:jc w:val="center"/>
              <w:rPr>
                <w:kern w:val="0"/>
                <w:sz w:val="24"/>
              </w:rPr>
            </w:pPr>
            <w:r>
              <w:rPr>
                <w:rFonts w:hint="eastAsia"/>
                <w:kern w:val="0"/>
                <w:sz w:val="24"/>
              </w:rPr>
              <w:t>36</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局部地区在人行道的路缘石下做一些竖直的格栅，同时把该处的马路边做的特别低以利集水。如果公交站范围有这种下水口，乘客容易踩空以致摔倒。</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关于道路排水设计，一般道路是1.5%的坡度向两侧排水或者单侧排水，规划将建议有关部门将格栅排水盖板避开公交车上下客范围建设。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37</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公交站处的树根会将铺装石条顶起，影响通行。</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lang w:eastAsia="zh-CN"/>
              </w:rPr>
              <w:t>规划</w:t>
            </w:r>
            <w:r>
              <w:rPr>
                <w:rFonts w:hint="eastAsia" w:eastAsia="仿宋_GB2312"/>
                <w:kern w:val="0"/>
                <w:sz w:val="24"/>
              </w:rPr>
              <w:t>将建议相关部门对道路铺装进行管养维护，及时修根并修复铺装，减少根系发达树种引起局部的树池压条甚至铺装凸起的情况。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38</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部分过马路天桥的扶手，因有推车道（斜面无级）阻隔，需要用扶手的老人就很难扶到，建议将扶手向桥内弯。</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规划将建议涉及该问题的人行天桥更换栏杆，并在规划中明确“重点对人行道、盲道、人行过街天桥进行无障碍设施改造提升，2025年前新建达标率100%，存量改造达标率85%以上”的相关要求。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39</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部分公交车前门线路牌在车靠站时，播放出来的是已过去的站名，而不是乘客想知道的前往的站名；</w:t>
            </w:r>
          </w:p>
          <w:p>
            <w:pPr>
              <w:widowControl/>
              <w:jc w:val="left"/>
              <w:rPr>
                <w:rFonts w:eastAsia="仿宋_GB2312"/>
                <w:kern w:val="0"/>
                <w:sz w:val="24"/>
              </w:rPr>
            </w:pPr>
            <w:r>
              <w:rPr>
                <w:rFonts w:hint="eastAsia" w:eastAsia="仿宋_GB2312"/>
                <w:kern w:val="0"/>
                <w:sz w:val="24"/>
              </w:rPr>
              <w:t>往往有多线公交车停靠一起，看不到后面的是几号车，建议在车头右侧（比如放“视觉盲区 请勿靠近” 牌）放一个牌，标明线路。</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在规划文本中明确“公交站点宜设置电子站牌、电子信息屏，实时显示车辆行驶信息，并配置盲文站牌和视障人士助乘系统。倡导智慧公交建设。智慧公交系统宜结合当地公交行业信息化成果，共享公交行业基础数据和公交运行状态信息资源，构建人、车、路协同，实现人与公交车、公交站点和场站设施的互联互动。”的相关要求，确保信息交流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40</w:t>
            </w:r>
          </w:p>
        </w:tc>
        <w:tc>
          <w:tcPr>
            <w:tcW w:w="992" w:type="dxa"/>
            <w:vMerge w:val="restart"/>
            <w:vAlign w:val="center"/>
          </w:tcPr>
          <w:p>
            <w:pPr>
              <w:widowControl/>
              <w:spacing w:line="320" w:lineRule="exact"/>
              <w:jc w:val="center"/>
              <w:rPr>
                <w:rFonts w:eastAsia="仿宋_GB2312"/>
                <w:b/>
                <w:kern w:val="0"/>
                <w:sz w:val="24"/>
              </w:rPr>
            </w:pPr>
            <w:r>
              <w:rPr>
                <w:rFonts w:hint="eastAsia" w:eastAsia="仿宋_GB2312"/>
                <w:b/>
                <w:kern w:val="0"/>
                <w:sz w:val="24"/>
              </w:rPr>
              <w:t>许先生</w:t>
            </w:r>
          </w:p>
        </w:tc>
        <w:tc>
          <w:tcPr>
            <w:tcW w:w="5954" w:type="dxa"/>
            <w:vAlign w:val="center"/>
          </w:tcPr>
          <w:p>
            <w:pPr>
              <w:widowControl/>
              <w:jc w:val="left"/>
              <w:rPr>
                <w:rFonts w:eastAsia="仿宋_GB2312"/>
                <w:kern w:val="0"/>
                <w:sz w:val="24"/>
              </w:rPr>
            </w:pPr>
            <w:r>
              <w:rPr>
                <w:rFonts w:hint="eastAsia" w:eastAsia="仿宋_GB2312"/>
                <w:kern w:val="0"/>
                <w:sz w:val="24"/>
              </w:rPr>
              <w:t>对于无障碍设施，应设定维护预算、设备寿命管理要求。对于公共空间的无障碍设施由何部门执行维护以及由何部门获得维护费用，应设有公开的流程规范，设备设施也需要有明显的标识标记上一次维护时间和责任单位及联系方式。</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rPr>
                <w:rFonts w:eastAsia="仿宋_GB2312"/>
                <w:kern w:val="0"/>
                <w:sz w:val="24"/>
              </w:rPr>
            </w:pPr>
            <w:r>
              <w:rPr>
                <w:rFonts w:hint="eastAsia" w:eastAsia="仿宋_GB2312"/>
                <w:kern w:val="0"/>
                <w:sz w:val="24"/>
              </w:rPr>
              <w:t>根据国家强制性标准《建筑与市政工程无障碍通用规范》(GB55019-2021)中“5.0.3对竣工验收交付使用的无障碍设施应明确维护责任人”、“5.0.5对安全性、功能性或系统性缺损的无障碍设施，维护责任人应及时进行维护，保证其正常使用”等款项，无障碍设施的验收和维护均有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41</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中国城市的建设处于一种常态化状态，在建设阶段如果因为拆建或管道维修影响到盲道、坡道的使用，会使无障碍措施失能。需要设立基建规范限制，对于大型建设项目，特别是时长超过某个时长(比如一个月以上)的建设项目，建设立项前就需要提供周边无障碍措施恢复期限、替代性无障碍出行方案。如此才能保证无障碍出行。对于临时施工的可能性，比如管道更换维修导致设施失能，建议在设施采购、放置的时候需考虑如何减少避免临时施工的失效;对于按照规范放置以后仍然产生施工工程，应对施工方有期限申报、施工管理规范有相应的管理要求来通过保护设施、或施工顺序来保障设施功用。</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rPr>
                <w:rFonts w:eastAsia="仿宋_GB2312"/>
                <w:kern w:val="0"/>
                <w:sz w:val="24"/>
              </w:rPr>
            </w:pPr>
            <w:r>
              <w:rPr>
                <w:rFonts w:hint="eastAsia" w:eastAsia="仿宋_GB2312"/>
                <w:kern w:val="0"/>
                <w:sz w:val="24"/>
              </w:rPr>
              <w:t>根据国家强制性标准《建筑与市政工程无障碍通用规范》(GB55019-2021)中“5.0.4维护责任人应定期对无障碍设施进行检查， 确保其符合安全性、功能性和系统性要求”、“5.0.6涉及人身安全的无障碍设施，因突发性事件引起功能缺损或因雨雪等原因造成防滑性能下降， 维护责任人应采取应急维护措施”等款项，明确了无障碍设施应采取应急维护措施来保障使用功能。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42</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整个方案面向的大多是硬件配套，建议增加软配套促进社会对不同身心障碍人士有更多了解并且有效协助他们的出行。比如，建议建立共融校园环境，允许不同程度的身心障碍人士入学，学校除了配套设施，也为此配套一些课程，促进不同的小朋友在相互照顾中获得成长。比如，建立社区机构，提供老人照护课程的同时也提供指导以及紧急援助，同时也提供电子产品教学课程给老人，以便他们可以日常自理。比如，在义务教育阶段提供手语课程作为学龄课外课程。</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在规划中明确“老人日常设施圈：以老年人家庭为核心，与医疗卫生机构、文化/娱乐/教育场所、政务服务中心、公共交通站点等公共服务设施临近布局”、“社区内配套服务设施应符合无障碍服务设计要求，有条件的还应结合物联网提供网购快递到户、外卖送餐到户、呼叫医疗救助、安排志愿服务等社区共享服务”；教育方面，在规划中明确“推进全纳教育，以普通学校为特殊教育发展主阵地，优先采用普通学校就读方式，就近安排能接受普通教育的适龄身心障碍少年儿童就读，有效帮助身心障碍少年儿童融入普通学校接受教育。持续增加特殊教育学校数量及学位，优化特殊学校教育空间布局”等相关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43</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对于重点路段，比如立交桥路口、应检查附近步道是否满足行走功能—盲道的连续性和轮椅宽度、是否出现行人与非机动车车辆争道，是否有充足的警示设置满足出行提示。这些都是保障无障碍出行的必要点。</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在规划中明确“推动无障碍环境建设从点位布置转向系统化闭环设计。重点改造老旧小区、设施集中地、公共服务设施、重要出行通道等存量无障碍设施；重点打通城市公共空间与道路、居住区的无障碍设施节点”的相关要求，确保重点路段通行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596" w:type="dxa"/>
            <w:vAlign w:val="center"/>
          </w:tcPr>
          <w:p>
            <w:pPr>
              <w:widowControl/>
              <w:jc w:val="center"/>
              <w:rPr>
                <w:kern w:val="0"/>
                <w:sz w:val="24"/>
              </w:rPr>
            </w:pPr>
            <w:r>
              <w:rPr>
                <w:rFonts w:hint="eastAsia"/>
                <w:kern w:val="0"/>
                <w:sz w:val="24"/>
              </w:rPr>
              <w:t>44</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对于机动车辆占用人行道斜坡、占用人行道、占用消防通道，完善举报处罚机制。</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已有12345电话热线可对无障碍设施相关问题进行答复，且规划中也提出“持续完善无障碍督导制度、以无障碍环境公益诉讼强化监督”等相关内容。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596" w:type="dxa"/>
            <w:vAlign w:val="center"/>
          </w:tcPr>
          <w:p>
            <w:pPr>
              <w:widowControl/>
              <w:jc w:val="center"/>
              <w:rPr>
                <w:kern w:val="0"/>
                <w:sz w:val="24"/>
              </w:rPr>
            </w:pPr>
            <w:r>
              <w:rPr>
                <w:rFonts w:hint="eastAsia"/>
                <w:kern w:val="0"/>
                <w:sz w:val="24"/>
              </w:rPr>
              <w:t>45</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盲道、人行道、斜坡是否有施工规范，是否有寿命要求，如何规范维护。在建筑技术上是否有高寿命、容易维护的设计实现较长寿命的人行道路。人行道维修等应设立施工规范强制执行，要求短期分段施工。</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本规划参考《建筑与市政工程无障碍通用规范》相关要求，对盲道、轮椅坡道等设施均有涉及要求。施工方面，也明确了“无障碍设计施工图审图”、“</w:t>
            </w:r>
            <w:r>
              <w:rPr>
                <w:rFonts w:hint="eastAsia"/>
              </w:rPr>
              <w:t xml:space="preserve"> </w:t>
            </w:r>
            <w:r>
              <w:rPr>
                <w:rFonts w:hint="eastAsia" w:eastAsia="仿宋_GB2312"/>
                <w:kern w:val="0"/>
                <w:sz w:val="24"/>
              </w:rPr>
              <w:t>无障碍设施系统性检查验收”等相关内容。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596" w:type="dxa"/>
            <w:vAlign w:val="center"/>
          </w:tcPr>
          <w:p>
            <w:pPr>
              <w:widowControl/>
              <w:jc w:val="center"/>
              <w:rPr>
                <w:kern w:val="0"/>
                <w:sz w:val="24"/>
              </w:rPr>
            </w:pPr>
            <w:r>
              <w:rPr>
                <w:rFonts w:hint="eastAsia"/>
                <w:kern w:val="0"/>
                <w:sz w:val="24"/>
              </w:rPr>
              <w:t>46</w:t>
            </w:r>
          </w:p>
        </w:tc>
        <w:tc>
          <w:tcPr>
            <w:tcW w:w="992" w:type="dxa"/>
            <w:vMerge w:val="continue"/>
            <w:vAlign w:val="center"/>
          </w:tcPr>
          <w:p>
            <w:pPr>
              <w:widowControl/>
              <w:spacing w:line="320" w:lineRule="exact"/>
              <w:jc w:val="left"/>
              <w:rPr>
                <w:rFonts w:eastAsia="仿宋_GB2312"/>
                <w:b/>
                <w:kern w:val="0"/>
                <w:sz w:val="24"/>
              </w:rPr>
            </w:pPr>
          </w:p>
        </w:tc>
        <w:tc>
          <w:tcPr>
            <w:tcW w:w="5954" w:type="dxa"/>
            <w:vAlign w:val="center"/>
          </w:tcPr>
          <w:p>
            <w:pPr>
              <w:widowControl/>
              <w:jc w:val="left"/>
              <w:rPr>
                <w:rFonts w:eastAsia="仿宋_GB2312"/>
                <w:kern w:val="0"/>
                <w:sz w:val="24"/>
              </w:rPr>
            </w:pPr>
            <w:r>
              <w:rPr>
                <w:rFonts w:hint="eastAsia" w:eastAsia="仿宋_GB2312"/>
                <w:kern w:val="0"/>
                <w:sz w:val="24"/>
              </w:rPr>
              <w:t>公交车、公交站台设计满足轮椅出行。</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在规划中已明确公交车、公交站台等无障碍设计技术要求。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47</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13</w:t>
            </w:r>
            <w:r>
              <w:rPr>
                <w:rFonts w:eastAsia="仿宋_GB2312"/>
                <w:b/>
                <w:kern w:val="0"/>
                <w:sz w:val="24"/>
              </w:rPr>
              <w:t>6***702</w:t>
            </w:r>
          </w:p>
        </w:tc>
        <w:tc>
          <w:tcPr>
            <w:tcW w:w="5954" w:type="dxa"/>
            <w:vAlign w:val="center"/>
          </w:tcPr>
          <w:p>
            <w:pPr>
              <w:widowControl/>
              <w:jc w:val="left"/>
              <w:rPr>
                <w:rFonts w:eastAsia="仿宋_GB2312"/>
                <w:kern w:val="0"/>
                <w:sz w:val="24"/>
              </w:rPr>
            </w:pPr>
            <w:r>
              <w:rPr>
                <w:rFonts w:hint="eastAsia" w:eastAsia="仿宋_GB2312"/>
                <w:kern w:val="0"/>
                <w:sz w:val="24"/>
              </w:rPr>
              <w:t>建议规划好盲道，杜绝尽头盲道，盲道被路灯柱子挡，及因树木导致盲道扭曲，砖块高低落差，盲道出口过窄轮椅过不去等问题。</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规划中盲道设计参考国家强制性标准《建筑与市政工程无障碍通用规范》(GB55019-2021)进行规定，涉及后期维护问题，也有“5.0.4维护责任人应定期对无障碍设施进行检查，确保其符合安全性、功能性和系统性要求”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596" w:type="dxa"/>
            <w:vAlign w:val="center"/>
          </w:tcPr>
          <w:p>
            <w:pPr>
              <w:widowControl/>
              <w:jc w:val="center"/>
              <w:rPr>
                <w:kern w:val="0"/>
                <w:sz w:val="24"/>
              </w:rPr>
            </w:pPr>
            <w:r>
              <w:rPr>
                <w:rFonts w:hint="eastAsia"/>
                <w:kern w:val="0"/>
                <w:sz w:val="24"/>
              </w:rPr>
              <w:t>48</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练先生</w:t>
            </w:r>
          </w:p>
        </w:tc>
        <w:tc>
          <w:tcPr>
            <w:tcW w:w="5954" w:type="dxa"/>
            <w:vAlign w:val="center"/>
          </w:tcPr>
          <w:p>
            <w:pPr>
              <w:widowControl/>
              <w:jc w:val="left"/>
              <w:rPr>
                <w:rFonts w:eastAsia="仿宋_GB2312"/>
                <w:kern w:val="0"/>
                <w:sz w:val="24"/>
              </w:rPr>
            </w:pPr>
            <w:r>
              <w:rPr>
                <w:rFonts w:hint="eastAsia" w:eastAsia="仿宋_GB2312"/>
                <w:kern w:val="0"/>
                <w:sz w:val="24"/>
              </w:rPr>
              <w:t>退役军人广州购房考虑免落户（政策）。</w:t>
            </w:r>
          </w:p>
        </w:tc>
        <w:tc>
          <w:tcPr>
            <w:tcW w:w="709" w:type="dxa"/>
            <w:vAlign w:val="center"/>
          </w:tcPr>
          <w:p>
            <w:pPr>
              <w:widowControl/>
              <w:jc w:val="left"/>
              <w:rPr>
                <w:rFonts w:eastAsia="仿宋_GB2312"/>
                <w:kern w:val="0"/>
                <w:sz w:val="24"/>
              </w:rPr>
            </w:pPr>
            <w:r>
              <w:rPr>
                <w:rFonts w:hint="eastAsia" w:eastAsia="仿宋_GB2312"/>
                <w:kern w:val="0"/>
                <w:sz w:val="24"/>
              </w:rPr>
              <w:t>未采纳</w:t>
            </w:r>
          </w:p>
        </w:tc>
        <w:tc>
          <w:tcPr>
            <w:tcW w:w="5783" w:type="dxa"/>
            <w:vAlign w:val="center"/>
          </w:tcPr>
          <w:p>
            <w:pPr>
              <w:widowControl/>
              <w:jc w:val="left"/>
              <w:rPr>
                <w:rFonts w:eastAsia="仿宋_GB2312"/>
                <w:kern w:val="0"/>
                <w:sz w:val="24"/>
              </w:rPr>
            </w:pPr>
            <w:r>
              <w:rPr>
                <w:rFonts w:hint="eastAsia" w:eastAsia="仿宋_GB2312"/>
                <w:kern w:val="0"/>
                <w:sz w:val="24"/>
              </w:rPr>
              <w:t>该意见与无障碍环境建设无关，建议前往相关部门反映情况。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596" w:type="dxa"/>
            <w:vAlign w:val="center"/>
          </w:tcPr>
          <w:p>
            <w:pPr>
              <w:widowControl/>
              <w:jc w:val="center"/>
              <w:rPr>
                <w:kern w:val="0"/>
                <w:sz w:val="24"/>
              </w:rPr>
            </w:pPr>
            <w:r>
              <w:rPr>
                <w:rFonts w:hint="eastAsia"/>
                <w:kern w:val="0"/>
                <w:sz w:val="24"/>
              </w:rPr>
              <w:t>49</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个人</w:t>
            </w:r>
          </w:p>
        </w:tc>
        <w:tc>
          <w:tcPr>
            <w:tcW w:w="5954" w:type="dxa"/>
            <w:vAlign w:val="center"/>
          </w:tcPr>
          <w:p>
            <w:pPr>
              <w:widowControl/>
              <w:jc w:val="left"/>
              <w:rPr>
                <w:rFonts w:eastAsia="仿宋_GB2312"/>
                <w:kern w:val="0"/>
                <w:sz w:val="24"/>
              </w:rPr>
            </w:pPr>
            <w:r>
              <w:rPr>
                <w:rFonts w:hint="eastAsia" w:eastAsia="仿宋_GB2312"/>
                <w:kern w:val="0"/>
                <w:sz w:val="24"/>
              </w:rPr>
              <w:t>无障碍斜坡不要急转弯，上下斜坡的时候一个很小的台阶和一个很小的落差，对轮椅出行的人也是很大的障碍。残疾人的道路一定要平，不要弄凹凸不平的路。</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规划参考《建筑与市政工程无障碍通用规范》GB 55019-2021，对轮椅坡道、无障碍通道均有相关设计要求。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96" w:type="dxa"/>
            <w:vAlign w:val="center"/>
          </w:tcPr>
          <w:p>
            <w:pPr>
              <w:widowControl/>
              <w:jc w:val="center"/>
              <w:rPr>
                <w:kern w:val="0"/>
                <w:sz w:val="24"/>
              </w:rPr>
            </w:pPr>
            <w:r>
              <w:rPr>
                <w:rFonts w:hint="eastAsia"/>
                <w:kern w:val="0"/>
                <w:sz w:val="24"/>
              </w:rPr>
              <w:t>50</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个人</w:t>
            </w:r>
          </w:p>
        </w:tc>
        <w:tc>
          <w:tcPr>
            <w:tcW w:w="5954" w:type="dxa"/>
            <w:vAlign w:val="center"/>
          </w:tcPr>
          <w:p>
            <w:pPr>
              <w:widowControl/>
              <w:jc w:val="left"/>
              <w:rPr>
                <w:rFonts w:eastAsia="仿宋_GB2312"/>
                <w:kern w:val="0"/>
                <w:sz w:val="24"/>
              </w:rPr>
            </w:pPr>
            <w:r>
              <w:rPr>
                <w:rFonts w:hint="eastAsia" w:eastAsia="仿宋_GB2312"/>
                <w:kern w:val="0"/>
                <w:sz w:val="24"/>
              </w:rPr>
              <w:t>建议在农村增加建设无障碍通道，无障碍评测，无障碍健身场所。</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已在规划中补充“乡村公共服务场所无障碍”、“室外场地无障碍”、“</w:t>
            </w:r>
            <w:r>
              <w:rPr>
                <w:rFonts w:hint="eastAsia"/>
              </w:rPr>
              <w:t xml:space="preserve"> </w:t>
            </w:r>
            <w:r>
              <w:rPr>
                <w:rFonts w:hint="eastAsia" w:eastAsia="仿宋_GB2312"/>
                <w:kern w:val="0"/>
                <w:sz w:val="24"/>
              </w:rPr>
              <w:t>配套服务设施无障碍”的相关内容，“无障碍通道、无障碍评测、无障碍健身场所”等内容已包含其中。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596" w:type="dxa"/>
            <w:vAlign w:val="center"/>
          </w:tcPr>
          <w:p>
            <w:pPr>
              <w:widowControl/>
              <w:jc w:val="center"/>
              <w:rPr>
                <w:kern w:val="0"/>
                <w:sz w:val="24"/>
              </w:rPr>
            </w:pPr>
            <w:r>
              <w:rPr>
                <w:rFonts w:hint="eastAsia"/>
                <w:kern w:val="0"/>
                <w:sz w:val="24"/>
              </w:rPr>
              <w:t>51</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个人</w:t>
            </w:r>
          </w:p>
        </w:tc>
        <w:tc>
          <w:tcPr>
            <w:tcW w:w="5954" w:type="dxa"/>
            <w:vAlign w:val="center"/>
          </w:tcPr>
          <w:p>
            <w:pPr>
              <w:widowControl/>
              <w:jc w:val="left"/>
              <w:rPr>
                <w:rFonts w:eastAsia="仿宋_GB2312"/>
                <w:kern w:val="0"/>
                <w:sz w:val="24"/>
              </w:rPr>
            </w:pPr>
            <w:r>
              <w:rPr>
                <w:rFonts w:hint="eastAsia" w:eastAsia="仿宋_GB2312"/>
                <w:kern w:val="0"/>
                <w:sz w:val="24"/>
              </w:rPr>
              <w:t>肢体残疾人坐残疾人机动三轮车，被列入五类车。肢体残疾人开有牌有证的残疾机动三轮车进不去医院，建议解决。</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规划将建议相关部门加强管理，引导符合《残疾人专用车管理规定》的残疾人车辆有序出行。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52</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个人</w:t>
            </w:r>
          </w:p>
        </w:tc>
        <w:tc>
          <w:tcPr>
            <w:tcW w:w="5954" w:type="dxa"/>
            <w:vAlign w:val="center"/>
          </w:tcPr>
          <w:p>
            <w:pPr>
              <w:widowControl/>
              <w:jc w:val="left"/>
              <w:rPr>
                <w:rFonts w:eastAsia="仿宋_GB2312"/>
                <w:kern w:val="0"/>
                <w:sz w:val="24"/>
              </w:rPr>
            </w:pPr>
            <w:r>
              <w:rPr>
                <w:rFonts w:hint="eastAsia" w:eastAsia="仿宋_GB2312"/>
                <w:kern w:val="0"/>
                <w:sz w:val="24"/>
              </w:rPr>
              <w:t>1、建议必须强调坡道和地面不能有高度差。现在好多路口的坡道都有一点点的高起，推轮椅或者宝宝推车很容易车轮被顶住上不去； 2、建议必须明确共享单车不能占道摆放，特别是共享单车公司在摆放时一放就是几百辆车；3、增加坡道后，电动车很容易就直接开上人行道，这个也需要考虑如何避免电动车对行人造成的安全隐患。</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规划参考《建筑与市政工程无障碍通用规范》GB 55019-2021，对缘石坡道、轮椅坡道、无障碍通道等设施均有相关设计要求。对于盲道、轮椅坡道维护问题，也有“维护责任人应定期对无障碍设施进行检查，确保其符合安全性、功能性和系统性要求”的相关内容，并建议相关部门及时对共享单车摆放位置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96" w:type="dxa"/>
            <w:vAlign w:val="center"/>
          </w:tcPr>
          <w:p>
            <w:pPr>
              <w:widowControl/>
              <w:jc w:val="center"/>
              <w:rPr>
                <w:kern w:val="0"/>
                <w:sz w:val="24"/>
              </w:rPr>
            </w:pPr>
            <w:r>
              <w:rPr>
                <w:rFonts w:hint="eastAsia"/>
                <w:kern w:val="0"/>
                <w:sz w:val="24"/>
              </w:rPr>
              <w:t>53</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个人</w:t>
            </w:r>
          </w:p>
        </w:tc>
        <w:tc>
          <w:tcPr>
            <w:tcW w:w="5954" w:type="dxa"/>
            <w:vAlign w:val="center"/>
          </w:tcPr>
          <w:p>
            <w:pPr>
              <w:widowControl/>
              <w:jc w:val="left"/>
              <w:rPr>
                <w:rFonts w:eastAsia="仿宋_GB2312"/>
                <w:kern w:val="0"/>
                <w:sz w:val="24"/>
              </w:rPr>
            </w:pPr>
            <w:r>
              <w:rPr>
                <w:rFonts w:hint="eastAsia" w:eastAsia="仿宋_GB2312"/>
                <w:kern w:val="0"/>
                <w:sz w:val="24"/>
              </w:rPr>
              <w:t>除了设备设施的投入，建议多通过深度体验等形式的活动，让其他人了解到残疾人及老年人在生活中的诸多不便之处，这样不仅能增加对残疾人和老年人的尊重、对自身家庭有残疾人或老年人更多的关心和照顾、对社会无障碍设施更多的爱护，减少维护成本。</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规划提出鼓励“无障碍文化宣传”、组织如</w:t>
            </w:r>
            <w:r>
              <w:rPr>
                <w:rFonts w:eastAsia="仿宋_GB2312"/>
                <w:kern w:val="0"/>
                <w:sz w:val="24"/>
              </w:rPr>
              <w:t>“</w:t>
            </w:r>
            <w:r>
              <w:rPr>
                <w:rFonts w:hint="eastAsia" w:eastAsia="仿宋_GB2312"/>
                <w:kern w:val="0"/>
                <w:sz w:val="24"/>
              </w:rPr>
              <w:t>爱心引路人”的志愿活动，加强无障碍文化宣传，提高文化共识。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596" w:type="dxa"/>
            <w:vAlign w:val="center"/>
          </w:tcPr>
          <w:p>
            <w:pPr>
              <w:widowControl/>
              <w:jc w:val="center"/>
              <w:rPr>
                <w:kern w:val="0"/>
                <w:sz w:val="24"/>
              </w:rPr>
            </w:pPr>
            <w:r>
              <w:rPr>
                <w:rFonts w:hint="eastAsia"/>
                <w:kern w:val="0"/>
                <w:sz w:val="24"/>
              </w:rPr>
              <w:t>54</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个人</w:t>
            </w:r>
          </w:p>
        </w:tc>
        <w:tc>
          <w:tcPr>
            <w:tcW w:w="5954" w:type="dxa"/>
            <w:vAlign w:val="center"/>
          </w:tcPr>
          <w:p>
            <w:pPr>
              <w:widowControl/>
              <w:jc w:val="left"/>
              <w:rPr>
                <w:rFonts w:eastAsia="仿宋_GB2312"/>
                <w:kern w:val="0"/>
                <w:sz w:val="24"/>
              </w:rPr>
            </w:pPr>
            <w:r>
              <w:rPr>
                <w:rFonts w:hint="eastAsia" w:eastAsia="仿宋_GB2312"/>
                <w:kern w:val="0"/>
                <w:sz w:val="24"/>
              </w:rPr>
              <w:t>部分公共场所的无障碍坡道倾斜度很陡，靠个人力量上不去，要叫旁人帮忙。</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广州老城区的部分存量设施，如轮椅坡道，存在建设不达标的情况，为了改善无障碍环境，本规划提出：“重点对人行道、人行过街天桥等进行无障碍设施改造提升，2025年前新建道路通达率100%，既有道路无障碍改造达标率80%”的相关要求，以保障轮椅坡道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596" w:type="dxa"/>
            <w:vAlign w:val="center"/>
          </w:tcPr>
          <w:p>
            <w:pPr>
              <w:widowControl/>
              <w:jc w:val="center"/>
              <w:rPr>
                <w:kern w:val="0"/>
                <w:sz w:val="24"/>
              </w:rPr>
            </w:pPr>
            <w:r>
              <w:rPr>
                <w:rFonts w:hint="eastAsia"/>
                <w:kern w:val="0"/>
                <w:sz w:val="24"/>
              </w:rPr>
              <w:t>55</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个人</w:t>
            </w:r>
          </w:p>
        </w:tc>
        <w:tc>
          <w:tcPr>
            <w:tcW w:w="5954" w:type="dxa"/>
            <w:vAlign w:val="center"/>
          </w:tcPr>
          <w:p>
            <w:pPr>
              <w:widowControl/>
              <w:jc w:val="left"/>
              <w:rPr>
                <w:rFonts w:eastAsia="仿宋_GB2312"/>
                <w:kern w:val="0"/>
                <w:sz w:val="24"/>
              </w:rPr>
            </w:pPr>
            <w:r>
              <w:rPr>
                <w:rFonts w:hint="eastAsia" w:eastAsia="仿宋_GB2312"/>
                <w:kern w:val="0"/>
                <w:sz w:val="24"/>
              </w:rPr>
              <w:t>无障碍问题拖到2035年太迟了。</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本规划分为近期（2025年）、中期（2030年）、远期（2035年）三个阶段，其中规划即将实施。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96" w:type="dxa"/>
            <w:vAlign w:val="center"/>
          </w:tcPr>
          <w:p>
            <w:pPr>
              <w:widowControl/>
              <w:jc w:val="center"/>
              <w:rPr>
                <w:kern w:val="0"/>
                <w:sz w:val="24"/>
              </w:rPr>
            </w:pPr>
            <w:r>
              <w:rPr>
                <w:rFonts w:hint="eastAsia"/>
                <w:kern w:val="0"/>
                <w:sz w:val="24"/>
              </w:rPr>
              <w:t>56</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个人</w:t>
            </w:r>
          </w:p>
        </w:tc>
        <w:tc>
          <w:tcPr>
            <w:tcW w:w="5954" w:type="dxa"/>
            <w:vAlign w:val="center"/>
          </w:tcPr>
          <w:p>
            <w:pPr>
              <w:widowControl/>
              <w:jc w:val="left"/>
              <w:rPr>
                <w:rFonts w:eastAsia="仿宋_GB2312"/>
                <w:kern w:val="0"/>
                <w:sz w:val="24"/>
              </w:rPr>
            </w:pPr>
            <w:r>
              <w:rPr>
                <w:rFonts w:hint="eastAsia" w:eastAsia="仿宋_GB2312"/>
                <w:kern w:val="0"/>
                <w:sz w:val="24"/>
              </w:rPr>
              <w:t>建议增加对听障人士（包括使用手语、使用助听器的听力障碍人士、以及听力下降的老年人士）在公共领域的信息无障碍支持。包括在公共服务如医院、银行、政务服务中心、公园、地铁站点等地方提供语音转文字的设备，培训相关服务人员使用该设备转译文字，为听力残疾人提供信息无障碍支持。我希望在公共服务办理可以用文字沟通（如果app实时转文字翻译不明确，可以用文字沟通），多包容也理解听障人士，多多支持关注听障弱势群体，也希望信息无障碍发展趋势向上。</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规划关于“信息无障碍”方面有专章说明，并建议将信息无障碍作为评价城市无障碍环境建设水平的重要考核内容。在规划也提出“推进全市无障碍事业发展领域资源数字化整合，打造协同管理体系。在2023年12月前全面推进政务服务线上线下全面无障碍融合，实现业务“一张网”办理”的相关要求，为残疾人提供信息交流无障碍支持。</w:t>
            </w:r>
          </w:p>
          <w:p>
            <w:pPr>
              <w:widowControl/>
              <w:jc w:val="left"/>
              <w:rPr>
                <w:rFonts w:eastAsia="仿宋_GB2312"/>
                <w:kern w:val="0"/>
                <w:sz w:val="24"/>
              </w:rPr>
            </w:pPr>
            <w:r>
              <w:rPr>
                <w:rFonts w:hint="eastAsia" w:eastAsia="仿宋_GB2312"/>
                <w:kern w:val="0"/>
                <w:sz w:val="24"/>
              </w:rPr>
              <w:t>且鼓励对相关服务人员进行无障碍宣传培训，以便帮助残疾人士沟通交流。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596" w:type="dxa"/>
            <w:vAlign w:val="center"/>
          </w:tcPr>
          <w:p>
            <w:pPr>
              <w:widowControl/>
              <w:jc w:val="center"/>
              <w:rPr>
                <w:kern w:val="0"/>
                <w:sz w:val="24"/>
              </w:rPr>
            </w:pPr>
            <w:r>
              <w:rPr>
                <w:rFonts w:hint="eastAsia"/>
                <w:kern w:val="0"/>
                <w:sz w:val="24"/>
              </w:rPr>
              <w:t>57</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个人</w:t>
            </w:r>
          </w:p>
        </w:tc>
        <w:tc>
          <w:tcPr>
            <w:tcW w:w="5954" w:type="dxa"/>
            <w:vAlign w:val="center"/>
          </w:tcPr>
          <w:p>
            <w:pPr>
              <w:widowControl/>
              <w:jc w:val="left"/>
              <w:rPr>
                <w:rFonts w:eastAsia="仿宋_GB2312"/>
                <w:kern w:val="0"/>
                <w:sz w:val="24"/>
              </w:rPr>
            </w:pPr>
            <w:r>
              <w:rPr>
                <w:rFonts w:hint="eastAsia" w:eastAsia="仿宋_GB2312"/>
                <w:kern w:val="0"/>
                <w:sz w:val="24"/>
              </w:rPr>
              <w:t>（增加）青少年的运动场地。</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规划围绕15分钟社区无障碍生活圈提出建设指引，构建社区活动空间和老幼友好场所，为老人和儿童提供无障碍户外活动场地。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596" w:type="dxa"/>
            <w:vAlign w:val="center"/>
          </w:tcPr>
          <w:p>
            <w:pPr>
              <w:widowControl/>
              <w:jc w:val="center"/>
              <w:rPr>
                <w:kern w:val="0"/>
                <w:sz w:val="24"/>
              </w:rPr>
            </w:pPr>
            <w:r>
              <w:rPr>
                <w:rFonts w:hint="eastAsia"/>
                <w:kern w:val="0"/>
                <w:sz w:val="24"/>
              </w:rPr>
              <w:t>58</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个人</w:t>
            </w:r>
          </w:p>
        </w:tc>
        <w:tc>
          <w:tcPr>
            <w:tcW w:w="5954" w:type="dxa"/>
            <w:vAlign w:val="center"/>
          </w:tcPr>
          <w:p>
            <w:pPr>
              <w:widowControl/>
              <w:jc w:val="left"/>
              <w:rPr>
                <w:rFonts w:eastAsia="仿宋_GB2312"/>
                <w:kern w:val="0"/>
                <w:sz w:val="24"/>
              </w:rPr>
            </w:pPr>
            <w:r>
              <w:rPr>
                <w:rFonts w:hint="eastAsia" w:eastAsia="仿宋_GB2312"/>
                <w:kern w:val="0"/>
                <w:sz w:val="24"/>
              </w:rPr>
              <w:t>罗冲围松北社区缺少文体设施。</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罗冲围松北社区位于规划分区中的“适老化重点建设区”，对于该片区的无障碍改造，规划提出“应在居住区室外活动场所内设置可供老年人相聚的交往空间，并应在儿童活动场地周边设置可供老年人休息的座椅，也可将老年人健身活动器械与儿童活动场地结合设置，形成与儿童共处的户外活动场所。”的相关建议，并鼓励尚未落实的社区加快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596" w:type="dxa"/>
            <w:vAlign w:val="center"/>
          </w:tcPr>
          <w:p>
            <w:pPr>
              <w:widowControl/>
              <w:jc w:val="center"/>
              <w:rPr>
                <w:kern w:val="0"/>
                <w:sz w:val="24"/>
              </w:rPr>
            </w:pPr>
            <w:r>
              <w:rPr>
                <w:rFonts w:hint="eastAsia"/>
                <w:kern w:val="0"/>
                <w:sz w:val="24"/>
              </w:rPr>
              <w:t>59</w:t>
            </w:r>
          </w:p>
        </w:tc>
        <w:tc>
          <w:tcPr>
            <w:tcW w:w="992" w:type="dxa"/>
            <w:vAlign w:val="center"/>
          </w:tcPr>
          <w:p>
            <w:pPr>
              <w:widowControl/>
              <w:spacing w:line="320" w:lineRule="exact"/>
              <w:jc w:val="left"/>
              <w:rPr>
                <w:rFonts w:eastAsia="仿宋_GB2312"/>
                <w:b/>
                <w:kern w:val="0"/>
                <w:sz w:val="24"/>
              </w:rPr>
            </w:pPr>
            <w:r>
              <w:rPr>
                <w:rFonts w:hint="eastAsia" w:eastAsia="仿宋_GB2312"/>
                <w:b/>
                <w:kern w:val="0"/>
                <w:sz w:val="24"/>
              </w:rPr>
              <w:t>个人</w:t>
            </w:r>
          </w:p>
        </w:tc>
        <w:tc>
          <w:tcPr>
            <w:tcW w:w="5954" w:type="dxa"/>
            <w:vAlign w:val="center"/>
          </w:tcPr>
          <w:p>
            <w:pPr>
              <w:widowControl/>
              <w:jc w:val="left"/>
              <w:rPr>
                <w:rFonts w:eastAsia="仿宋_GB2312"/>
                <w:kern w:val="0"/>
                <w:sz w:val="24"/>
              </w:rPr>
            </w:pPr>
            <w:r>
              <w:rPr>
                <w:rFonts w:hint="eastAsia" w:eastAsia="仿宋_GB2312"/>
                <w:kern w:val="0"/>
                <w:sz w:val="24"/>
              </w:rPr>
              <w:t>万顷沙镇残障办公室设置在二楼，没有电梯上去，轮椅不方便的上不去办事，公交、旅游景点、银行、医院等公共场所多增加无障碍。</w:t>
            </w:r>
          </w:p>
        </w:tc>
        <w:tc>
          <w:tcPr>
            <w:tcW w:w="709" w:type="dxa"/>
            <w:vAlign w:val="center"/>
          </w:tcPr>
          <w:p>
            <w:pPr>
              <w:widowControl/>
              <w:jc w:val="left"/>
              <w:rPr>
                <w:rFonts w:eastAsia="仿宋_GB2312"/>
                <w:kern w:val="0"/>
                <w:sz w:val="24"/>
              </w:rPr>
            </w:pPr>
            <w:r>
              <w:rPr>
                <w:rFonts w:hint="eastAsia" w:eastAsia="仿宋_GB2312"/>
                <w:kern w:val="0"/>
                <w:sz w:val="24"/>
              </w:rPr>
              <w:t>采纳</w:t>
            </w:r>
          </w:p>
        </w:tc>
        <w:tc>
          <w:tcPr>
            <w:tcW w:w="5783" w:type="dxa"/>
            <w:vAlign w:val="center"/>
          </w:tcPr>
          <w:p>
            <w:pPr>
              <w:widowControl/>
              <w:jc w:val="left"/>
              <w:rPr>
                <w:rFonts w:eastAsia="仿宋_GB2312"/>
                <w:kern w:val="0"/>
                <w:sz w:val="24"/>
              </w:rPr>
            </w:pPr>
            <w:r>
              <w:rPr>
                <w:rFonts w:hint="eastAsia" w:eastAsia="仿宋_GB2312"/>
                <w:kern w:val="0"/>
                <w:sz w:val="24"/>
              </w:rPr>
              <w:t>规划提出“在土地出让条件中明确无障碍设计要求，保障城市公共空间、居住区、场地建筑无障碍环境在设计规划实现一体化设计，重点解决存量城市公共空间与街道空间、居住区无障碍设施规划系统性和连续性问题”，以提升无障碍环境设施一体性”的相关内容，并明确对公交、旅游景点、银行、医院等公共场所进行无障碍设施的有序改造，增加无障碍电梯、无障碍厕所等设施。</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hNGJhYzViNjM0YzA0Nzg2NWEzNzM4ZWFjOTMwZWYifQ=="/>
  </w:docVars>
  <w:rsids>
    <w:rsidRoot w:val="00693CAD"/>
    <w:rsid w:val="000026A4"/>
    <w:rsid w:val="0001089E"/>
    <w:rsid w:val="000144A9"/>
    <w:rsid w:val="00023AFC"/>
    <w:rsid w:val="0006741F"/>
    <w:rsid w:val="00067FF8"/>
    <w:rsid w:val="000A5D87"/>
    <w:rsid w:val="000C5C69"/>
    <w:rsid w:val="000D0513"/>
    <w:rsid w:val="000D21EE"/>
    <w:rsid w:val="000D3B90"/>
    <w:rsid w:val="000E2BAC"/>
    <w:rsid w:val="000E5348"/>
    <w:rsid w:val="000E6104"/>
    <w:rsid w:val="001046B9"/>
    <w:rsid w:val="00114C63"/>
    <w:rsid w:val="00121909"/>
    <w:rsid w:val="0012584F"/>
    <w:rsid w:val="00127781"/>
    <w:rsid w:val="0013163E"/>
    <w:rsid w:val="001470FF"/>
    <w:rsid w:val="00156606"/>
    <w:rsid w:val="00165DDD"/>
    <w:rsid w:val="00176DFE"/>
    <w:rsid w:val="001773D2"/>
    <w:rsid w:val="00194A82"/>
    <w:rsid w:val="001A19E8"/>
    <w:rsid w:val="001A5D73"/>
    <w:rsid w:val="001B284E"/>
    <w:rsid w:val="001B7068"/>
    <w:rsid w:val="001D6E19"/>
    <w:rsid w:val="001F552E"/>
    <w:rsid w:val="001F7277"/>
    <w:rsid w:val="002010F7"/>
    <w:rsid w:val="00221CDC"/>
    <w:rsid w:val="00226A6D"/>
    <w:rsid w:val="002317A3"/>
    <w:rsid w:val="002334E5"/>
    <w:rsid w:val="00236427"/>
    <w:rsid w:val="00237C18"/>
    <w:rsid w:val="00247FD0"/>
    <w:rsid w:val="00256F82"/>
    <w:rsid w:val="002655DA"/>
    <w:rsid w:val="00287121"/>
    <w:rsid w:val="0028799E"/>
    <w:rsid w:val="0029776C"/>
    <w:rsid w:val="002C4371"/>
    <w:rsid w:val="002C53DA"/>
    <w:rsid w:val="002D78A9"/>
    <w:rsid w:val="002E252D"/>
    <w:rsid w:val="003052AC"/>
    <w:rsid w:val="003106D8"/>
    <w:rsid w:val="0031113A"/>
    <w:rsid w:val="0031461B"/>
    <w:rsid w:val="00316F95"/>
    <w:rsid w:val="00323136"/>
    <w:rsid w:val="00332FD1"/>
    <w:rsid w:val="00335A91"/>
    <w:rsid w:val="00336088"/>
    <w:rsid w:val="00344C80"/>
    <w:rsid w:val="0034501B"/>
    <w:rsid w:val="003461B1"/>
    <w:rsid w:val="003606DA"/>
    <w:rsid w:val="003709CB"/>
    <w:rsid w:val="00373AE4"/>
    <w:rsid w:val="0037589F"/>
    <w:rsid w:val="00385F6C"/>
    <w:rsid w:val="00387839"/>
    <w:rsid w:val="003A1E80"/>
    <w:rsid w:val="003A3078"/>
    <w:rsid w:val="003A395D"/>
    <w:rsid w:val="003A7C02"/>
    <w:rsid w:val="003E7928"/>
    <w:rsid w:val="004003FD"/>
    <w:rsid w:val="004030A5"/>
    <w:rsid w:val="00403B0E"/>
    <w:rsid w:val="00404AA4"/>
    <w:rsid w:val="00406B56"/>
    <w:rsid w:val="00413550"/>
    <w:rsid w:val="0041760A"/>
    <w:rsid w:val="004234D3"/>
    <w:rsid w:val="00424FA6"/>
    <w:rsid w:val="004257C0"/>
    <w:rsid w:val="00426BC7"/>
    <w:rsid w:val="00441BE8"/>
    <w:rsid w:val="00442640"/>
    <w:rsid w:val="00444AE6"/>
    <w:rsid w:val="00451A45"/>
    <w:rsid w:val="004628D5"/>
    <w:rsid w:val="004632A8"/>
    <w:rsid w:val="00467976"/>
    <w:rsid w:val="004824AE"/>
    <w:rsid w:val="00490821"/>
    <w:rsid w:val="004A5C0E"/>
    <w:rsid w:val="004B11CA"/>
    <w:rsid w:val="004D7C7E"/>
    <w:rsid w:val="004E277F"/>
    <w:rsid w:val="004E28A4"/>
    <w:rsid w:val="004E731F"/>
    <w:rsid w:val="004F19B8"/>
    <w:rsid w:val="00515110"/>
    <w:rsid w:val="00530244"/>
    <w:rsid w:val="005326ED"/>
    <w:rsid w:val="005353E1"/>
    <w:rsid w:val="00544BD6"/>
    <w:rsid w:val="00574849"/>
    <w:rsid w:val="005759EF"/>
    <w:rsid w:val="005870B3"/>
    <w:rsid w:val="00595AFF"/>
    <w:rsid w:val="005A5425"/>
    <w:rsid w:val="005A5578"/>
    <w:rsid w:val="005C092F"/>
    <w:rsid w:val="005D0262"/>
    <w:rsid w:val="005D2545"/>
    <w:rsid w:val="005D6554"/>
    <w:rsid w:val="005E3908"/>
    <w:rsid w:val="005E5357"/>
    <w:rsid w:val="005E5BF9"/>
    <w:rsid w:val="005F043D"/>
    <w:rsid w:val="006137BF"/>
    <w:rsid w:val="00647E67"/>
    <w:rsid w:val="00650206"/>
    <w:rsid w:val="0066088D"/>
    <w:rsid w:val="00672D79"/>
    <w:rsid w:val="00674644"/>
    <w:rsid w:val="00686934"/>
    <w:rsid w:val="00693CAD"/>
    <w:rsid w:val="00697D3E"/>
    <w:rsid w:val="006A58EF"/>
    <w:rsid w:val="006C5BD0"/>
    <w:rsid w:val="006D1003"/>
    <w:rsid w:val="006E75F7"/>
    <w:rsid w:val="006F0629"/>
    <w:rsid w:val="006F2200"/>
    <w:rsid w:val="00700C05"/>
    <w:rsid w:val="007052A1"/>
    <w:rsid w:val="00722D10"/>
    <w:rsid w:val="0072718C"/>
    <w:rsid w:val="00730C0D"/>
    <w:rsid w:val="00741820"/>
    <w:rsid w:val="00741CDA"/>
    <w:rsid w:val="00750300"/>
    <w:rsid w:val="0075455D"/>
    <w:rsid w:val="00754B72"/>
    <w:rsid w:val="007563F7"/>
    <w:rsid w:val="00757F32"/>
    <w:rsid w:val="007617EA"/>
    <w:rsid w:val="007712D7"/>
    <w:rsid w:val="00782925"/>
    <w:rsid w:val="00783C05"/>
    <w:rsid w:val="00784ECB"/>
    <w:rsid w:val="00786714"/>
    <w:rsid w:val="00790AF2"/>
    <w:rsid w:val="007A643D"/>
    <w:rsid w:val="007B4FFE"/>
    <w:rsid w:val="007C027F"/>
    <w:rsid w:val="007D2C28"/>
    <w:rsid w:val="007D5BCB"/>
    <w:rsid w:val="008016C2"/>
    <w:rsid w:val="00830145"/>
    <w:rsid w:val="008369B4"/>
    <w:rsid w:val="00837A3A"/>
    <w:rsid w:val="008508A5"/>
    <w:rsid w:val="00852E55"/>
    <w:rsid w:val="00852ECC"/>
    <w:rsid w:val="00855A92"/>
    <w:rsid w:val="00861660"/>
    <w:rsid w:val="00863753"/>
    <w:rsid w:val="00864F5B"/>
    <w:rsid w:val="00870B0E"/>
    <w:rsid w:val="008A5AB8"/>
    <w:rsid w:val="008C21C8"/>
    <w:rsid w:val="008C632F"/>
    <w:rsid w:val="008D1E16"/>
    <w:rsid w:val="008E65A5"/>
    <w:rsid w:val="008F10A2"/>
    <w:rsid w:val="00901EA1"/>
    <w:rsid w:val="00906EDA"/>
    <w:rsid w:val="00923D19"/>
    <w:rsid w:val="00935AF2"/>
    <w:rsid w:val="009367A1"/>
    <w:rsid w:val="00942827"/>
    <w:rsid w:val="00950714"/>
    <w:rsid w:val="00951436"/>
    <w:rsid w:val="00953A00"/>
    <w:rsid w:val="00971F98"/>
    <w:rsid w:val="009733DA"/>
    <w:rsid w:val="009742C2"/>
    <w:rsid w:val="00985622"/>
    <w:rsid w:val="009950D7"/>
    <w:rsid w:val="009A304B"/>
    <w:rsid w:val="009B2B0B"/>
    <w:rsid w:val="009C390E"/>
    <w:rsid w:val="009C484B"/>
    <w:rsid w:val="009D1AE4"/>
    <w:rsid w:val="009E3D94"/>
    <w:rsid w:val="00A06654"/>
    <w:rsid w:val="00A10E71"/>
    <w:rsid w:val="00A22A2B"/>
    <w:rsid w:val="00A377B6"/>
    <w:rsid w:val="00A41CD2"/>
    <w:rsid w:val="00A45E6B"/>
    <w:rsid w:val="00A54D54"/>
    <w:rsid w:val="00A56E6F"/>
    <w:rsid w:val="00A62EE0"/>
    <w:rsid w:val="00A70886"/>
    <w:rsid w:val="00A74536"/>
    <w:rsid w:val="00A877BA"/>
    <w:rsid w:val="00A92308"/>
    <w:rsid w:val="00A944A9"/>
    <w:rsid w:val="00A94E58"/>
    <w:rsid w:val="00AA6802"/>
    <w:rsid w:val="00AB0693"/>
    <w:rsid w:val="00AB1954"/>
    <w:rsid w:val="00AB549C"/>
    <w:rsid w:val="00AB5EE7"/>
    <w:rsid w:val="00AC16CF"/>
    <w:rsid w:val="00AD492E"/>
    <w:rsid w:val="00AF5358"/>
    <w:rsid w:val="00B128CA"/>
    <w:rsid w:val="00B175C2"/>
    <w:rsid w:val="00B21A28"/>
    <w:rsid w:val="00B24A70"/>
    <w:rsid w:val="00B43A73"/>
    <w:rsid w:val="00B50AD9"/>
    <w:rsid w:val="00B628C7"/>
    <w:rsid w:val="00B66E25"/>
    <w:rsid w:val="00B835AE"/>
    <w:rsid w:val="00BA00B1"/>
    <w:rsid w:val="00BA1159"/>
    <w:rsid w:val="00BB0734"/>
    <w:rsid w:val="00BC3F78"/>
    <w:rsid w:val="00BC5A5F"/>
    <w:rsid w:val="00BD4672"/>
    <w:rsid w:val="00BD7AA0"/>
    <w:rsid w:val="00BE16C5"/>
    <w:rsid w:val="00BE66A4"/>
    <w:rsid w:val="00BF7CB8"/>
    <w:rsid w:val="00C003E3"/>
    <w:rsid w:val="00C04857"/>
    <w:rsid w:val="00C05A67"/>
    <w:rsid w:val="00C21AE3"/>
    <w:rsid w:val="00C27B41"/>
    <w:rsid w:val="00C30840"/>
    <w:rsid w:val="00C368D2"/>
    <w:rsid w:val="00C473D1"/>
    <w:rsid w:val="00C54EF7"/>
    <w:rsid w:val="00C55687"/>
    <w:rsid w:val="00C636D5"/>
    <w:rsid w:val="00CA2CEE"/>
    <w:rsid w:val="00CB168F"/>
    <w:rsid w:val="00CB1FE5"/>
    <w:rsid w:val="00CB56D4"/>
    <w:rsid w:val="00CB5CA8"/>
    <w:rsid w:val="00CB5CB1"/>
    <w:rsid w:val="00CB65F2"/>
    <w:rsid w:val="00CC2A86"/>
    <w:rsid w:val="00CC50AE"/>
    <w:rsid w:val="00CD26C5"/>
    <w:rsid w:val="00CD6E14"/>
    <w:rsid w:val="00CE4B91"/>
    <w:rsid w:val="00CF61C2"/>
    <w:rsid w:val="00D03016"/>
    <w:rsid w:val="00D04A82"/>
    <w:rsid w:val="00D068FF"/>
    <w:rsid w:val="00D16447"/>
    <w:rsid w:val="00D4253A"/>
    <w:rsid w:val="00D472AE"/>
    <w:rsid w:val="00D55989"/>
    <w:rsid w:val="00D568BC"/>
    <w:rsid w:val="00D65E65"/>
    <w:rsid w:val="00D77B6B"/>
    <w:rsid w:val="00D8260B"/>
    <w:rsid w:val="00D979E6"/>
    <w:rsid w:val="00DA621E"/>
    <w:rsid w:val="00DB10B2"/>
    <w:rsid w:val="00DC55FB"/>
    <w:rsid w:val="00DE102D"/>
    <w:rsid w:val="00DE3EF8"/>
    <w:rsid w:val="00DE4C34"/>
    <w:rsid w:val="00DE4D4B"/>
    <w:rsid w:val="00E00A2B"/>
    <w:rsid w:val="00E15A27"/>
    <w:rsid w:val="00E270CA"/>
    <w:rsid w:val="00E276CE"/>
    <w:rsid w:val="00E414C6"/>
    <w:rsid w:val="00E45846"/>
    <w:rsid w:val="00E71CCE"/>
    <w:rsid w:val="00E732C0"/>
    <w:rsid w:val="00E80C12"/>
    <w:rsid w:val="00E935F6"/>
    <w:rsid w:val="00E93C04"/>
    <w:rsid w:val="00E968DB"/>
    <w:rsid w:val="00EB0509"/>
    <w:rsid w:val="00EB1501"/>
    <w:rsid w:val="00EB5F74"/>
    <w:rsid w:val="00EC7BDB"/>
    <w:rsid w:val="00ED5DD0"/>
    <w:rsid w:val="00EE296B"/>
    <w:rsid w:val="00EE3B49"/>
    <w:rsid w:val="00EE4574"/>
    <w:rsid w:val="00F01B7B"/>
    <w:rsid w:val="00F0776C"/>
    <w:rsid w:val="00F378B5"/>
    <w:rsid w:val="00F523BB"/>
    <w:rsid w:val="00F5584C"/>
    <w:rsid w:val="00F6046E"/>
    <w:rsid w:val="00F614FE"/>
    <w:rsid w:val="00F7696A"/>
    <w:rsid w:val="00F93172"/>
    <w:rsid w:val="00F96716"/>
    <w:rsid w:val="00FA736B"/>
    <w:rsid w:val="00FC3D7D"/>
    <w:rsid w:val="00FC525B"/>
    <w:rsid w:val="00FC5524"/>
    <w:rsid w:val="00FC7FA5"/>
    <w:rsid w:val="00FE2EFA"/>
    <w:rsid w:val="026123C4"/>
    <w:rsid w:val="0DBA3CB5"/>
    <w:rsid w:val="215460BA"/>
    <w:rsid w:val="294A370F"/>
    <w:rsid w:val="39CD5C61"/>
    <w:rsid w:val="4590037E"/>
    <w:rsid w:val="49C26EB6"/>
    <w:rsid w:val="4FFE9564"/>
    <w:rsid w:val="66864CC6"/>
    <w:rsid w:val="67CF6B0E"/>
    <w:rsid w:val="F8FF8E9F"/>
    <w:rsid w:val="FF5E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0"/>
    <w:qFormat/>
    <w:uiPriority w:val="0"/>
    <w:pPr>
      <w:spacing w:line="579" w:lineRule="exact"/>
      <w:ind w:firstLine="1680" w:firstLineChars="200"/>
      <w:jc w:val="left"/>
      <w:outlineLvl w:val="0"/>
    </w:pPr>
    <w:rPr>
      <w:rFonts w:ascii="宋体" w:hAnsi="宋体" w:eastAsia="黑体"/>
      <w:kern w:val="44"/>
      <w:sz w:val="32"/>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Balloon Text"/>
    <w:basedOn w:val="1"/>
    <w:link w:val="13"/>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字符"/>
    <w:basedOn w:val="8"/>
    <w:qFormat/>
    <w:uiPriority w:val="9"/>
    <w:rPr>
      <w:rFonts w:ascii="Times New Roman" w:hAnsi="Times New Roman" w:eastAsia="宋体" w:cs="Times New Roman"/>
      <w:b/>
      <w:bCs/>
      <w:kern w:val="44"/>
      <w:sz w:val="44"/>
      <w:szCs w:val="44"/>
    </w:rPr>
  </w:style>
  <w:style w:type="character" w:customStyle="1" w:styleId="10">
    <w:name w:val="标题 1 字符1"/>
    <w:link w:val="3"/>
    <w:qFormat/>
    <w:uiPriority w:val="0"/>
    <w:rPr>
      <w:rFonts w:ascii="宋体" w:hAnsi="宋体" w:eastAsia="黑体" w:cs="Times New Roman"/>
      <w:kern w:val="44"/>
      <w:sz w:val="32"/>
      <w:szCs w:val="48"/>
    </w:rPr>
  </w:style>
  <w:style w:type="character" w:customStyle="1" w:styleId="11">
    <w:name w:val="页眉 字符"/>
    <w:basedOn w:val="8"/>
    <w:link w:val="6"/>
    <w:qFormat/>
    <w:uiPriority w:val="99"/>
    <w:rPr>
      <w:rFonts w:ascii="Times New Roman" w:hAnsi="Times New Roman" w:eastAsia="宋体" w:cs="Times New Roman"/>
      <w:sz w:val="18"/>
      <w:szCs w:val="18"/>
    </w:rPr>
  </w:style>
  <w:style w:type="character" w:customStyle="1" w:styleId="12">
    <w:name w:val="页脚 字符"/>
    <w:basedOn w:val="8"/>
    <w:link w:val="5"/>
    <w:qFormat/>
    <w:uiPriority w:val="99"/>
    <w:rPr>
      <w:rFonts w:ascii="Times New Roman" w:hAnsi="Times New Roman" w:eastAsia="宋体" w:cs="Times New Roman"/>
      <w:sz w:val="18"/>
      <w:szCs w:val="18"/>
    </w:rPr>
  </w:style>
  <w:style w:type="character" w:customStyle="1" w:styleId="13">
    <w:name w:val="批注框文本 字符"/>
    <w:basedOn w:val="8"/>
    <w:link w:val="4"/>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10665</Words>
  <Characters>11125</Characters>
  <Lines>82</Lines>
  <Paragraphs>23</Paragraphs>
  <TotalTime>0</TotalTime>
  <ScaleCrop>false</ScaleCrop>
  <LinksUpToDate>false</LinksUpToDate>
  <CharactersWithSpaces>11261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2022-10-24T20:19:00Z</dcterms:created>
  <dc:creator>公共设施建设管理处14/池延仲</dc:creator>
  <cp:lastModifiedBy>admin</cp:lastModifiedBy>
  <dcterms:modified xsi:type="dcterms:W3CDTF">2022-11-02T06:22:00Z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2353F7F64029401EB3D2EB33AE12629A</vt:lpwstr>
  </property>
  <property fmtid="{D5CDD505-2E9C-101B-9397-08002B2CF9AE}" pid="4" name="GrammarlyDocumentId">
    <vt:lpwstr>a345f8f4-af94-41ce-a6ef-b723a09d7bb6</vt:lpwstr>
  </property>
</Properties>
</file>