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</w:p>
    <w:p>
      <w:pPr>
        <w:pStyle w:val="18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</w:p>
    <w:p>
      <w:pPr>
        <w:pStyle w:val="18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  <w:r>
        <w:rPr>
          <w:rFonts w:hint="eastAsia" w:ascii="文鼎大标宋简" w:hAnsi="宋体" w:eastAsia="文鼎大标宋简"/>
          <w:b/>
          <w:color w:val="000000"/>
          <w:sz w:val="44"/>
          <w:szCs w:val="44"/>
        </w:rPr>
        <w:drawing>
          <wp:inline distT="0" distB="0" distL="114300" distR="114300">
            <wp:extent cx="836930" cy="1149350"/>
            <wp:effectExtent l="0" t="0" r="1270" b="8890"/>
            <wp:docPr id="8" name="图片 8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LOGO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</w:p>
    <w:p>
      <w:pPr>
        <w:spacing w:line="800" w:lineRule="exact"/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</w:rPr>
        <w:t xml:space="preserve"> 广州市第六届建筑工匠技能擂台赛</w:t>
      </w:r>
    </w:p>
    <w:p>
      <w:pPr>
        <w:spacing w:line="800" w:lineRule="exact"/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</w:rPr>
        <w:t>(木雕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val="en-US" w:eastAsia="zh-CN"/>
        </w:rPr>
        <w:t>工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</w:rPr>
        <w:t>）</w:t>
      </w:r>
    </w:p>
    <w:p>
      <w:pPr>
        <w:spacing w:line="800" w:lineRule="exact"/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技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术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文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3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 w:eastAsiaTheme="minorEastAsia"/>
          <w:b/>
          <w:bCs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2021年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8</w:t>
      </w:r>
      <w:r>
        <w:rPr>
          <w:rFonts w:hint="eastAsia" w:ascii="宋体" w:hAnsi="宋体" w:cs="宋体"/>
          <w:b/>
          <w:bCs/>
          <w:sz w:val="30"/>
          <w:szCs w:val="30"/>
        </w:rPr>
        <w:t>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广州市第六届建筑工匠技能擂台赛组委会</w:t>
      </w:r>
    </w:p>
    <w:p>
      <w:pPr>
        <w:pStyle w:val="7"/>
        <w:rPr>
          <w:rFonts w:hint="eastAsia"/>
          <w:sz w:val="28"/>
          <w:szCs w:val="28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134" w:right="1417" w:bottom="1134" w:left="1417" w:header="170" w:footer="567" w:gutter="0"/>
          <w:cols w:space="0" w:num="1"/>
          <w:titlePg/>
          <w:rtlGutter w:val="0"/>
          <w:docGrid w:type="lines" w:linePitch="312" w:charSpace="0"/>
        </w:sectPr>
      </w:pPr>
    </w:p>
    <w:p>
      <w:pPr>
        <w:pStyle w:val="7"/>
      </w:pPr>
      <w:r>
        <w:rPr>
          <w:rFonts w:hint="eastAsia"/>
          <w:sz w:val="28"/>
          <w:szCs w:val="28"/>
        </w:rPr>
        <w:t>传统木雕竞赛技术文件</w:t>
      </w:r>
    </w:p>
    <w:p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1.命题原则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了贯彻落实国家大力弘扬工匠精神，传承优秀传统文化的要求，进一步挖掘和培育传统建筑工匠人才，提升历史建筑木雕装饰的制作与修缮技艺水平，结合广府传统建筑木雕工艺特点和生产实际，考核大木作雕刻的实际操作技能，将历史建筑中木雕施工工艺、职业素养贯穿考核全过程，对相关技能人才培养发挥示范指导作用。</w:t>
      </w:r>
    </w:p>
    <w:p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2.试题内容和说明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2.1试题说明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木雕是广府地区常见的建筑装饰艺术，具有分布范围广、纹样题材多、观赏效果好的特点，是省级非物质文化遗产。木雕在广州、佛山、江门、肇庆、珠海等地的祠堂、寺庙、民居、园林等传统建筑中广泛运用，总体形象粗犷豪放、气势恢宏，具体细节追求繁复、精细入微。题材以人物、花鸟、瑞兽、瓜果为主，配以吉祥纹饰，并运用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平雕、浅浮雕、高浮雕、圆雕的手法使表达要素凸出于饰面。木雕制作涉及多个步骤，是考验工匠对材料、造型、雕工等技巧熟悉程度的综合装饰艺术。</w:t>
      </w:r>
    </w:p>
    <w:p>
      <w:pPr>
        <w:spacing w:line="360" w:lineRule="auto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1570990</wp:posOffset>
                </wp:positionV>
                <wp:extent cx="1898015" cy="250190"/>
                <wp:effectExtent l="19050" t="19050" r="26035" b="1651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5019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7pt;margin-top:123.7pt;height:19.7pt;width:149.45pt;z-index:251660288;v-text-anchor:middle;mso-width-relative:page;mso-height-relative:page;" filled="f" stroked="t" coordsize="21600,21600" o:gfxdata="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vrZzAtgAAAAKAQAADwAAAAAAAAABACAAAAAiAAAAZHJzL2Rvd25yZXYueG1sUEsBAhQAFAAAAAgA&#10;h07iQBXgJRNeAgAAtgQAAA4AAAAAAAAAAQAgAAAAJwEAAGRycy9lMm9Eb2MueG1sUEsFBgAAAAAG&#10;AAYAWQEAAPcFAAAAAA==&#10;">
                <v:fill on="f" focussize="0,0"/>
                <v:stroke weight="2.25pt" color="#C00000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w:drawing>
          <wp:inline distT="0" distB="0" distL="0" distR="0">
            <wp:extent cx="5274310" cy="3344545"/>
            <wp:effectExtent l="1905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63" w:firstLineChars="193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图1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传统建筑梁架</w:t>
      </w:r>
    </w:p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829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drawing>
                <wp:inline distT="0" distB="0" distL="0" distR="0">
                  <wp:extent cx="2943225" cy="1507490"/>
                  <wp:effectExtent l="19050" t="19050" r="9525" b="1651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5736" cy="1514521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29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drawing>
                <wp:inline distT="0" distB="0" distL="0" distR="0">
                  <wp:extent cx="2990215" cy="2125980"/>
                  <wp:effectExtent l="0" t="0" r="635" b="762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07" b="55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556" cy="212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ind w:firstLine="463" w:firstLineChars="193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ascii="宋体" w:hAnsi="宋体" w:cs="宋体"/>
          <w:sz w:val="24"/>
          <w:szCs w:val="24"/>
        </w:rPr>
        <w:t xml:space="preserve">2 </w:t>
      </w:r>
      <w:r>
        <w:rPr>
          <w:rFonts w:hint="eastAsia" w:ascii="宋体" w:hAnsi="宋体" w:cs="宋体"/>
          <w:sz w:val="24"/>
          <w:szCs w:val="24"/>
        </w:rPr>
        <w:t>雕花斗栱柁墩（太平祥瑞）</w:t>
      </w:r>
    </w:p>
    <w:p>
      <w:pPr>
        <w:spacing w:line="360" w:lineRule="auto"/>
        <w:ind w:firstLine="463" w:firstLineChars="193"/>
        <w:jc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图所示，试题为“广府传统建筑木雕斗栱柁墩（太平祥瑞）的基本工艺”。柁墩，是传统砖木结构建筑中大木梁架的常用构件，表面雕刻卷云祥瑞图案等装饰。这幅“太平祥瑞”图，图中刻有花瓶、如意、牡丹、桃子，取太平祥瑞、繁荣吉祥之意。参赛选手在组委会提供的木料上完成纹样雕刻与刀线修光。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2.2竞赛形式</w:t>
      </w:r>
    </w:p>
    <w:p>
      <w:pPr>
        <w:spacing w:line="360" w:lineRule="auto"/>
        <w:ind w:firstLine="463" w:firstLineChars="193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采用单人竞赛形式，独立完成规定的竞赛内容。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2.3实操时间</w:t>
      </w:r>
    </w:p>
    <w:p>
      <w:pPr>
        <w:spacing w:line="360" w:lineRule="auto"/>
        <w:ind w:firstLine="463" w:firstLineChars="193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总用时为8小时。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2.4竞赛要求</w:t>
      </w:r>
    </w:p>
    <w:p>
      <w:pPr>
        <w:spacing w:line="360" w:lineRule="auto"/>
        <w:ind w:firstLine="463" w:firstLineChars="193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本次木雕题目主要考核雕花斗栱柁墩工艺为“画样—凿粗坯—凿细坯—刀线修光”。此次竞赛由组委会提供柁墩</w:t>
      </w:r>
      <w:r>
        <w:rPr>
          <w:rFonts w:hint="eastAsia" w:cs="宋体" w:asciiTheme="minorEastAsia" w:hAnsiTheme="minorEastAsia"/>
          <w:sz w:val="24"/>
          <w:szCs w:val="24"/>
        </w:rPr>
        <w:t>木料，选手从“凿</w:t>
      </w:r>
      <w:r>
        <w:rPr>
          <w:rFonts w:hint="eastAsia" w:ascii="宋体" w:hAnsi="宋体" w:cs="宋体"/>
          <w:sz w:val="24"/>
          <w:szCs w:val="24"/>
        </w:rPr>
        <w:t>粗坯”开始雕刻。</w:t>
      </w:r>
    </w:p>
    <w:p>
      <w:pPr>
        <w:spacing w:line="360" w:lineRule="auto"/>
        <w:ind w:firstLine="465" w:firstLineChars="193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（1）画线稿：</w:t>
      </w:r>
      <w:r>
        <w:rPr>
          <w:rFonts w:hint="eastAsia" w:ascii="宋体" w:hAnsi="宋体" w:cs="宋体"/>
          <w:sz w:val="24"/>
          <w:szCs w:val="24"/>
        </w:rPr>
        <w:t>用墨线在木料上勾画纹饰线稿。（组委会完成）</w:t>
      </w:r>
    </w:p>
    <w:p>
      <w:pPr>
        <w:spacing w:line="360" w:lineRule="auto"/>
        <w:ind w:firstLine="465" w:firstLineChars="193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（2）凿粗坯：</w:t>
      </w:r>
      <w:r>
        <w:rPr>
          <w:rFonts w:hint="eastAsia" w:ascii="宋体" w:hAnsi="宋体" w:cs="宋体"/>
          <w:sz w:val="24"/>
          <w:szCs w:val="24"/>
        </w:rPr>
        <w:t>利用机械工具挖出柁墩轮廓。（组委会完成）</w:t>
      </w:r>
    </w:p>
    <w:p>
      <w:pPr>
        <w:spacing w:line="360" w:lineRule="auto"/>
        <w:ind w:firstLine="1903" w:firstLineChars="793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利用凿、</w:t>
      </w:r>
      <w:r>
        <w:rPr>
          <w:rFonts w:hint="eastAsia" w:ascii="宋体" w:hAnsi="宋体" w:cs="宋体"/>
          <w:color w:val="auto"/>
          <w:sz w:val="24"/>
          <w:szCs w:val="24"/>
        </w:rPr>
        <w:t>锤等手动工具，由</w:t>
      </w:r>
      <w:r>
        <w:rPr>
          <w:rFonts w:hint="eastAsia" w:ascii="宋体" w:hAnsi="宋体" w:cs="宋体"/>
          <w:sz w:val="24"/>
          <w:szCs w:val="24"/>
        </w:rPr>
        <w:t>表及里，由浅入深，层层推进，初步凿出雕花的轮廓。（选手完成）</w:t>
      </w:r>
    </w:p>
    <w:p>
      <w:pPr>
        <w:spacing w:line="360" w:lineRule="auto"/>
        <w:ind w:firstLine="465" w:firstLineChars="193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（3）凿细坯：</w:t>
      </w:r>
      <w:r>
        <w:rPr>
          <w:rFonts w:hint="eastAsia" w:ascii="宋体" w:hAnsi="宋体" w:cs="宋体"/>
          <w:sz w:val="24"/>
          <w:szCs w:val="24"/>
        </w:rPr>
        <w:t>调整比例和布局，将具体形态逐步落实并成形。（选手完成）</w:t>
      </w:r>
    </w:p>
    <w:p>
      <w:pPr>
        <w:spacing w:line="360" w:lineRule="auto"/>
        <w:ind w:firstLine="465" w:firstLineChars="193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（4）刀线修光：</w:t>
      </w:r>
      <w:r>
        <w:rPr>
          <w:rFonts w:hint="eastAsia" w:ascii="宋体" w:hAnsi="宋体" w:cs="宋体"/>
          <w:sz w:val="24"/>
          <w:szCs w:val="24"/>
        </w:rPr>
        <w:t>运用精雕细刻修饰雕花图案，刻画线条。（选手完成）</w:t>
      </w:r>
    </w:p>
    <w:p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3.成绩评判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3.1评判标准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本题考核标准参照《GBT 51330-2019 传统建筑工程技术标准》制定。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3.2评判原则</w:t>
      </w:r>
    </w:p>
    <w:p>
      <w:pPr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（1）整体造型：</w:t>
      </w:r>
      <w:r>
        <w:rPr>
          <w:rFonts w:hint="eastAsia" w:ascii="宋体" w:hAnsi="宋体" w:cs="宋体"/>
          <w:sz w:val="24"/>
          <w:szCs w:val="24"/>
        </w:rPr>
        <w:t>整体造型符合参考图样要求，比例恰当、造型准确、形象美观。</w:t>
      </w:r>
    </w:p>
    <w:p>
      <w:pPr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（2）细节观感：</w:t>
      </w:r>
      <w:r>
        <w:rPr>
          <w:rFonts w:hint="eastAsia" w:ascii="宋体" w:hAnsi="宋体" w:cs="宋体"/>
          <w:sz w:val="24"/>
          <w:szCs w:val="24"/>
        </w:rPr>
        <w:t>雕花外观纹样符合参考图样要求，细节清晰完整、线条流畅、表面细润光滑。</w:t>
      </w:r>
    </w:p>
    <w:p>
      <w:pPr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（3）图案内容：</w:t>
      </w:r>
      <w:r>
        <w:rPr>
          <w:rFonts w:hint="eastAsia" w:ascii="宋体" w:hAnsi="宋体" w:cs="宋体"/>
          <w:sz w:val="24"/>
          <w:szCs w:val="24"/>
        </w:rPr>
        <w:t>图案内容与参考图样相符，内容要素齐全，图案内容无缺失。</w:t>
      </w:r>
    </w:p>
    <w:p>
      <w:pPr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（4）形态塑造：</w:t>
      </w:r>
      <w:r>
        <w:rPr>
          <w:rFonts w:hint="eastAsia" w:ascii="宋体" w:hAnsi="宋体" w:cs="宋体"/>
          <w:sz w:val="24"/>
          <w:szCs w:val="24"/>
        </w:rPr>
        <w:t>雕刻刀法和造型风格符合广府传统建筑木雕的要求，</w:t>
      </w:r>
      <w:r>
        <w:rPr>
          <w:rFonts w:hint="eastAsia"/>
          <w:sz w:val="24"/>
          <w:szCs w:val="24"/>
        </w:rPr>
        <w:t>形态塑造生动、主次分明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3.3评分方式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为了增强评判公平性和科学性，降低成绩评判的偶然误差，评判方式采取逐轮投票淘汰方式，确定各参赛选手木雕作品的排序。</w:t>
      </w:r>
    </w:p>
    <w:p>
      <w:pPr>
        <w:pStyle w:val="3"/>
        <w:rPr>
          <w:shd w:val="clear" w:color="auto" w:fill="auto"/>
        </w:rPr>
      </w:pPr>
      <w:r>
        <w:rPr>
          <w:shd w:val="clear" w:color="auto" w:fill="auto"/>
        </w:rPr>
        <w:t>3.3</w:t>
      </w:r>
      <w:r>
        <w:rPr>
          <w:rFonts w:hint="eastAsia"/>
          <w:shd w:val="clear" w:color="auto" w:fill="auto"/>
        </w:rPr>
        <w:t>评分规程</w:t>
      </w:r>
    </w:p>
    <w:p>
      <w:pPr>
        <w:pStyle w:val="16"/>
        <w:spacing w:line="360" w:lineRule="auto"/>
        <w:ind w:firstLine="482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（1）裁判组由7名专家组成。</w:t>
      </w:r>
      <w:r>
        <w:rPr>
          <w:rFonts w:hint="eastAsia" w:ascii="宋体" w:hAnsi="宋体" w:cs="宋体"/>
          <w:sz w:val="24"/>
          <w:szCs w:val="24"/>
        </w:rPr>
        <w:t>裁判组推选1名裁判组长、1名裁判副组长、1名巡场裁判和4名裁判组成员。</w:t>
      </w:r>
    </w:p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裁判副组长与巡场裁判负责竞赛过程监督和职业素养评分。</w:t>
      </w:r>
    </w:p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裁判组长与其他4名裁判组成员负责木雕作品评审工作，具有同等表决权，以差额选举逐轮淘汰的记名投票方式选出选手作品的排序；在竞赛期间回避竞赛现场，不得进入竞赛区。</w:t>
      </w:r>
    </w:p>
    <w:p>
      <w:pPr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（2）过程监督和职业素养评分。</w:t>
      </w:r>
      <w:r>
        <w:rPr>
          <w:rFonts w:hint="eastAsia" w:ascii="宋体" w:hAnsi="宋体" w:cs="宋体"/>
          <w:sz w:val="24"/>
          <w:szCs w:val="24"/>
        </w:rPr>
        <w:t>裁判副组长和巡场裁判对竞赛过程进行巡场监督，按职业素养评分表（如表1所示）对每位选手进行评分，参赛选手职业素养得分为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分以下的，其作品不得参与评审；在竞赛结束后，裁判副组长对木雕作品进行重新编号。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widowControl/>
        <w:jc w:val="center"/>
        <w:rPr>
          <w:rFonts w:ascii="宋体" w:hAnsi="宋体" w:cs="宋体"/>
          <w:sz w:val="22"/>
          <w:szCs w:val="24"/>
        </w:rPr>
      </w:pPr>
      <w:r>
        <w:rPr>
          <w:rFonts w:hint="eastAsia" w:ascii="宋体" w:hAnsi="宋体" w:cs="宋体"/>
          <w:sz w:val="22"/>
          <w:szCs w:val="24"/>
        </w:rPr>
        <w:t>表1木雕职业素养评分表</w:t>
      </w:r>
    </w:p>
    <w:tbl>
      <w:tblPr>
        <w:tblStyle w:val="8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749"/>
        <w:gridCol w:w="992"/>
        <w:gridCol w:w="567"/>
        <w:gridCol w:w="5077"/>
        <w:gridCol w:w="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2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4"/>
              </w:rPr>
              <w:t>序号</w:t>
            </w:r>
          </w:p>
        </w:tc>
        <w:tc>
          <w:tcPr>
            <w:tcW w:w="749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4"/>
              </w:rPr>
              <w:t>考核项目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4"/>
              </w:rPr>
              <w:t>考核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4"/>
              </w:rPr>
              <w:t>要求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4"/>
              </w:rPr>
              <w:t>分值</w:t>
            </w:r>
          </w:p>
        </w:tc>
        <w:tc>
          <w:tcPr>
            <w:tcW w:w="507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4"/>
              </w:rPr>
              <w:t>评分标准</w:t>
            </w:r>
          </w:p>
        </w:tc>
        <w:tc>
          <w:tcPr>
            <w:tcW w:w="423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522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1</w:t>
            </w:r>
          </w:p>
        </w:tc>
        <w:tc>
          <w:tcPr>
            <w:tcW w:w="749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职业素养</w:t>
            </w:r>
          </w:p>
        </w:tc>
        <w:tc>
          <w:tcPr>
            <w:tcW w:w="992" w:type="dxa"/>
            <w:noWrap/>
            <w:vAlign w:val="center"/>
          </w:tcPr>
          <w:p>
            <w:pPr>
              <w:rPr>
                <w:rFonts w:ascii="Times New Roman" w:hAnsi="Times New Roman" w:cs="Times New Roman"/>
                <w:kern w:val="0"/>
                <w:sz w:val="22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遵守安全和纪律要求，工完场清</w:t>
            </w:r>
          </w:p>
        </w:tc>
        <w:tc>
          <w:tcPr>
            <w:tcW w:w="567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2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10</w:t>
            </w:r>
          </w:p>
        </w:tc>
        <w:tc>
          <w:tcPr>
            <w:tcW w:w="5077" w:type="dxa"/>
            <w:noWrap/>
            <w:vAlign w:val="center"/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kern w:val="0"/>
                <w:sz w:val="22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未戴安全帽进入赛区的，扣6分；在赛区竞赛过程中，脱下安全帽的，扣2分；佩戴安全帽不规范，经裁判员责令改正，拒不改正的，扣2分；</w:t>
            </w:r>
          </w:p>
          <w:p>
            <w:pPr>
              <w:rPr>
                <w:rFonts w:ascii="Times New Roman" w:hAnsi="Times New Roman" w:cs="Times New Roman"/>
                <w:kern w:val="0"/>
                <w:sz w:val="22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2.违反竞赛纪律的，扣2分；情节较为严重的，扣4分；情节严重的，扣6分；</w:t>
            </w:r>
          </w:p>
          <w:p>
            <w:pPr>
              <w:rPr>
                <w:rFonts w:ascii="Times New Roman" w:hAnsi="Times New Roman" w:cs="Times New Roman"/>
                <w:kern w:val="0"/>
                <w:sz w:val="22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3</w:t>
            </w:r>
            <w:r>
              <w:rPr>
                <w:rFonts w:ascii="Times New Roman" w:hAnsi="Times New Roman" w:cs="Times New Roman"/>
                <w:kern w:val="0"/>
                <w:sz w:val="22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未做到工完场清的，扣2分；</w:t>
            </w:r>
          </w:p>
          <w:p>
            <w:pPr>
              <w:rPr>
                <w:rFonts w:ascii="Times New Roman" w:hAnsi="Times New Roman" w:cs="Times New Roman"/>
                <w:kern w:val="0"/>
                <w:sz w:val="22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4</w:t>
            </w:r>
            <w:r>
              <w:rPr>
                <w:rFonts w:ascii="Times New Roman" w:hAnsi="Times New Roman" w:cs="Times New Roman"/>
                <w:kern w:val="0"/>
                <w:sz w:val="22"/>
                <w:szCs w:val="24"/>
              </w:rPr>
              <w:t>.在赛区内使用手机的</w:t>
            </w: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，</w:t>
            </w:r>
            <w:r>
              <w:rPr>
                <w:rFonts w:ascii="Times New Roman" w:hAnsi="Times New Roman" w:cs="Times New Roman"/>
                <w:kern w:val="0"/>
                <w:sz w:val="22"/>
                <w:szCs w:val="24"/>
              </w:rPr>
              <w:t>取消其作品评审资格</w:t>
            </w:r>
            <w:r>
              <w:rPr>
                <w:rFonts w:hint="eastAsia" w:ascii="Times New Roman" w:hAnsi="Times New Roman" w:cs="Times New Roman"/>
                <w:kern w:val="0"/>
                <w:sz w:val="22"/>
                <w:szCs w:val="24"/>
              </w:rPr>
              <w:t>。</w:t>
            </w:r>
          </w:p>
        </w:tc>
        <w:tc>
          <w:tcPr>
            <w:tcW w:w="423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4"/>
              </w:rPr>
            </w:pPr>
          </w:p>
        </w:tc>
      </w:tr>
    </w:tbl>
    <w:p>
      <w:pPr>
        <w:spacing w:line="360" w:lineRule="auto"/>
        <w:ind w:firstLine="465" w:firstLineChars="193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（3）五轮投票评选。</w:t>
      </w:r>
      <w:r>
        <w:rPr>
          <w:rFonts w:hint="eastAsia" w:ascii="宋体" w:hAnsi="宋体" w:cs="宋体"/>
          <w:sz w:val="24"/>
          <w:szCs w:val="24"/>
        </w:rPr>
        <w:t>在所有选手离场以及对木雕作品进行重新编号后，裁判组长和四名裁判员，进入现场进行评判。每轮投票允许选择的总数即下一轮候选总数，最后一轮每位专家各执2票。以得票多的方案当选为下一轮投票的候选方案（如图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所示）。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2"/>
          <w:szCs w:val="24"/>
        </w:rPr>
        <w:drawing>
          <wp:inline distT="0" distB="0" distL="0" distR="0">
            <wp:extent cx="5039995" cy="4264025"/>
            <wp:effectExtent l="0" t="0" r="8255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42641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40" w:firstLineChars="200"/>
        <w:jc w:val="center"/>
        <w:rPr>
          <w:rFonts w:ascii="宋体" w:hAnsi="宋体" w:cs="宋体"/>
          <w:sz w:val="22"/>
          <w:szCs w:val="24"/>
        </w:rPr>
      </w:pPr>
      <w:r>
        <w:rPr>
          <w:rFonts w:hint="eastAsia" w:ascii="宋体" w:hAnsi="宋体" w:cs="宋体"/>
          <w:sz w:val="22"/>
          <w:szCs w:val="24"/>
        </w:rPr>
        <w:t>图</w:t>
      </w:r>
      <w:r>
        <w:rPr>
          <w:rFonts w:ascii="宋体" w:hAnsi="宋体" w:cs="宋体"/>
          <w:sz w:val="22"/>
          <w:szCs w:val="24"/>
        </w:rPr>
        <w:t>3</w:t>
      </w:r>
      <w:r>
        <w:rPr>
          <w:rFonts w:hint="eastAsia" w:ascii="宋体" w:hAnsi="宋体" w:cs="宋体"/>
          <w:sz w:val="22"/>
          <w:szCs w:val="24"/>
        </w:rPr>
        <w:t>逐轮投票淘汰法示意图</w:t>
      </w:r>
      <w:r>
        <w:rPr>
          <w:rFonts w:hint="eastAsia" w:ascii="宋体" w:hAnsi="宋体" w:cs="宋体"/>
          <w:color w:val="auto"/>
          <w:sz w:val="22"/>
          <w:szCs w:val="24"/>
        </w:rPr>
        <w:t>（以20组为例）</w:t>
      </w:r>
    </w:p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第一轮投票选出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名选手；</w:t>
      </w:r>
    </w:p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第二轮票选出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名选手；</w:t>
      </w:r>
      <w:bookmarkStart w:id="6" w:name="_GoBack"/>
      <w:bookmarkEnd w:id="6"/>
    </w:p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第三轮票选出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名选手，并记录第4、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、6名；</w:t>
      </w:r>
    </w:p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第四轮票选出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名选手，并记录第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名；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第五轮票选出</w:t>
      </w:r>
      <w:r>
        <w:rPr>
          <w:rFonts w:hint="eastAsia" w:ascii="宋体" w:hAnsi="宋体" w:cs="宋体"/>
          <w:sz w:val="24"/>
          <w:szCs w:val="24"/>
        </w:rPr>
        <w:t>前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名，并公布1到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名。</w:t>
      </w:r>
    </w:p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根据表2，从上到下每轮投票限使用一行空格，每个空格限填一个方案编号，同一行的空格内的方案编号不得重复。不能进入下一轮的方案，根据本轮得票数量确定名次。各轮投票评判中，裁判不得弃权。</w:t>
      </w:r>
    </w:p>
    <w:p>
      <w:pPr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同票情况。</w:t>
      </w:r>
      <w:r>
        <w:rPr>
          <w:rFonts w:hint="eastAsia" w:ascii="宋体" w:hAnsi="宋体" w:cs="宋体"/>
          <w:sz w:val="24"/>
          <w:szCs w:val="24"/>
        </w:rPr>
        <w:t>在各轮裁判组投票统计结束后，如果有得票相同的木雕作品，则裁判组对得分相同的木雕作品进行附加投票表决，以确定名次。</w:t>
      </w:r>
    </w:p>
    <w:p>
      <w:pPr>
        <w:widowControl/>
        <w:jc w:val="center"/>
        <w:rPr>
          <w:rFonts w:ascii="宋体" w:hAnsi="宋体" w:cs="宋体"/>
          <w:sz w:val="22"/>
          <w:szCs w:val="24"/>
        </w:rPr>
      </w:pPr>
      <w:r>
        <w:rPr>
          <w:rFonts w:hint="eastAsia" w:ascii="宋体" w:hAnsi="宋体" w:cs="宋体"/>
          <w:sz w:val="22"/>
          <w:szCs w:val="24"/>
        </w:rPr>
        <w:t>表2 逐轮投票淘汰法裁判组投票记录表格</w:t>
      </w:r>
    </w:p>
    <w:tbl>
      <w:tblPr>
        <w:tblStyle w:val="8"/>
        <w:tblW w:w="70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282"/>
        <w:gridCol w:w="992"/>
        <w:gridCol w:w="1276"/>
        <w:gridCol w:w="1134"/>
        <w:gridCol w:w="12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1113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轮次</w:t>
            </w:r>
          </w:p>
        </w:tc>
        <w:tc>
          <w:tcPr>
            <w:tcW w:w="5947" w:type="dxa"/>
            <w:gridSpan w:val="5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投票记录表（填写作品编号）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 w:hRule="atLeast"/>
          <w:jc w:val="center"/>
        </w:trPr>
        <w:tc>
          <w:tcPr>
            <w:tcW w:w="1113" w:type="dxa"/>
            <w:vMerge w:val="restart"/>
            <w:tcBorders>
              <w:top w:val="double" w:color="000000" w:sz="4" w:space="0"/>
              <w:left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第</w:t>
            </w:r>
            <w:r>
              <w:rPr>
                <w:rFonts w:ascii="宋体" w:hAnsi="宋体" w:cs="宋体"/>
                <w:sz w:val="22"/>
                <w:szCs w:val="24"/>
              </w:rPr>
              <w:t>1</w:t>
            </w:r>
            <w:r>
              <w:rPr>
                <w:rFonts w:hint="eastAsia" w:ascii="宋体" w:hAnsi="宋体" w:cs="宋体"/>
                <w:sz w:val="22"/>
                <w:szCs w:val="24"/>
              </w:rPr>
              <w:t>轮</w:t>
            </w:r>
          </w:p>
        </w:tc>
        <w:tc>
          <w:tcPr>
            <w:tcW w:w="1282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62" w:type="dxa"/>
              <w:left w:w="124" w:type="dxa"/>
              <w:bottom w:w="62" w:type="dxa"/>
              <w:right w:w="124" w:type="dxa"/>
            </w:tcMar>
          </w:tcPr>
          <w:p>
            <w:pPr>
              <w:widowControl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263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 w:hRule="atLeast"/>
          <w:jc w:val="center"/>
        </w:trPr>
        <w:tc>
          <w:tcPr>
            <w:tcW w:w="1113" w:type="dxa"/>
            <w:vMerge w:val="continue"/>
            <w:tcBorders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282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62" w:type="dxa"/>
              <w:left w:w="124" w:type="dxa"/>
              <w:bottom w:w="62" w:type="dxa"/>
              <w:right w:w="124" w:type="dxa"/>
            </w:tcMar>
          </w:tcPr>
          <w:p>
            <w:pPr>
              <w:widowControl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263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</w:tr>
    </w:tbl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tbl>
      <w:tblPr>
        <w:tblStyle w:val="8"/>
        <w:tblW w:w="70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989"/>
        <w:gridCol w:w="1986"/>
        <w:gridCol w:w="19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1113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轮次</w:t>
            </w:r>
          </w:p>
        </w:tc>
        <w:tc>
          <w:tcPr>
            <w:tcW w:w="5947" w:type="dxa"/>
            <w:gridSpan w:val="3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投票记录表（填写作品编号）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 w:hRule="atLeast"/>
          <w:jc w:val="center"/>
        </w:trPr>
        <w:tc>
          <w:tcPr>
            <w:tcW w:w="1113" w:type="dxa"/>
            <w:vMerge w:val="restart"/>
            <w:tcBorders>
              <w:top w:val="double" w:color="000000" w:sz="4" w:space="0"/>
              <w:left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第2轮</w:t>
            </w:r>
          </w:p>
        </w:tc>
        <w:tc>
          <w:tcPr>
            <w:tcW w:w="1989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62" w:type="dxa"/>
              <w:left w:w="124" w:type="dxa"/>
              <w:bottom w:w="62" w:type="dxa"/>
              <w:right w:w="124" w:type="dxa"/>
            </w:tcMar>
          </w:tcPr>
          <w:p>
            <w:pPr>
              <w:widowControl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986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right w:w="148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972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 w:hRule="atLeast"/>
          <w:jc w:val="center"/>
        </w:trPr>
        <w:tc>
          <w:tcPr>
            <w:tcW w:w="1113" w:type="dxa"/>
            <w:vMerge w:val="continue"/>
            <w:tcBorders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989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62" w:type="dxa"/>
              <w:left w:w="124" w:type="dxa"/>
              <w:bottom w:w="62" w:type="dxa"/>
              <w:right w:w="124" w:type="dxa"/>
            </w:tcMar>
          </w:tcPr>
          <w:p>
            <w:pPr>
              <w:widowControl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986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972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</w:tr>
    </w:tbl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tbl>
      <w:tblPr>
        <w:tblStyle w:val="8"/>
        <w:tblW w:w="70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989"/>
        <w:gridCol w:w="1986"/>
        <w:gridCol w:w="19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1113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轮次</w:t>
            </w:r>
          </w:p>
        </w:tc>
        <w:tc>
          <w:tcPr>
            <w:tcW w:w="5947" w:type="dxa"/>
            <w:gridSpan w:val="3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投票记录表（填写作品编号）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 w:hRule="atLeast"/>
          <w:jc w:val="center"/>
        </w:trPr>
        <w:tc>
          <w:tcPr>
            <w:tcW w:w="1113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第3轮</w:t>
            </w:r>
          </w:p>
        </w:tc>
        <w:tc>
          <w:tcPr>
            <w:tcW w:w="1989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62" w:type="dxa"/>
              <w:left w:w="124" w:type="dxa"/>
              <w:bottom w:w="62" w:type="dxa"/>
              <w:right w:w="124" w:type="dxa"/>
            </w:tcMar>
          </w:tcPr>
          <w:p>
            <w:pPr>
              <w:widowControl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986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1972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</w:tr>
    </w:tbl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tbl>
      <w:tblPr>
        <w:tblStyle w:val="8"/>
        <w:tblW w:w="70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2972"/>
        <w:gridCol w:w="29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1113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轮次</w:t>
            </w:r>
          </w:p>
        </w:tc>
        <w:tc>
          <w:tcPr>
            <w:tcW w:w="5947" w:type="dxa"/>
            <w:gridSpan w:val="2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投票记录表（填写作品编号）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 w:hRule="atLeast"/>
          <w:jc w:val="center"/>
        </w:trPr>
        <w:tc>
          <w:tcPr>
            <w:tcW w:w="1113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第</w:t>
            </w:r>
            <w:r>
              <w:rPr>
                <w:rFonts w:ascii="宋体" w:hAnsi="宋体" w:cs="宋体"/>
                <w:sz w:val="22"/>
                <w:szCs w:val="24"/>
              </w:rPr>
              <w:t>4</w:t>
            </w:r>
            <w:r>
              <w:rPr>
                <w:rFonts w:hint="eastAsia" w:ascii="宋体" w:hAnsi="宋体" w:cs="宋体"/>
                <w:sz w:val="22"/>
                <w:szCs w:val="24"/>
              </w:rPr>
              <w:t>轮</w:t>
            </w:r>
          </w:p>
        </w:tc>
        <w:tc>
          <w:tcPr>
            <w:tcW w:w="2972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62" w:type="dxa"/>
              <w:left w:w="124" w:type="dxa"/>
              <w:bottom w:w="62" w:type="dxa"/>
              <w:right w:w="124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  <w:tc>
          <w:tcPr>
            <w:tcW w:w="2975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</w:tr>
    </w:tbl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tbl>
      <w:tblPr>
        <w:tblStyle w:val="8"/>
        <w:tblW w:w="70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59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1113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轮次</w:t>
            </w:r>
          </w:p>
        </w:tc>
        <w:tc>
          <w:tcPr>
            <w:tcW w:w="5947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投票记录表（填写作品编号）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 w:hRule="atLeast"/>
          <w:jc w:val="center"/>
        </w:trPr>
        <w:tc>
          <w:tcPr>
            <w:tcW w:w="1113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第</w:t>
            </w:r>
            <w:r>
              <w:rPr>
                <w:rFonts w:ascii="宋体" w:hAnsi="宋体" w:cs="宋体"/>
                <w:sz w:val="22"/>
                <w:szCs w:val="24"/>
              </w:rPr>
              <w:t>5</w:t>
            </w:r>
            <w:r>
              <w:rPr>
                <w:rFonts w:hint="eastAsia" w:ascii="宋体" w:hAnsi="宋体" w:cs="宋体"/>
                <w:sz w:val="22"/>
                <w:szCs w:val="24"/>
              </w:rPr>
              <w:t>轮</w:t>
            </w:r>
          </w:p>
        </w:tc>
        <w:tc>
          <w:tcPr>
            <w:tcW w:w="5947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62" w:type="dxa"/>
              <w:left w:w="124" w:type="dxa"/>
              <w:bottom w:w="62" w:type="dxa"/>
              <w:right w:w="124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</w:tr>
    </w:tbl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tbl>
      <w:tblPr>
        <w:tblStyle w:val="8"/>
        <w:tblW w:w="70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59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1113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轮次</w:t>
            </w:r>
          </w:p>
        </w:tc>
        <w:tc>
          <w:tcPr>
            <w:tcW w:w="5947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 w:val="22"/>
                <w:szCs w:val="24"/>
              </w:rPr>
            </w:pPr>
            <w:r>
              <w:rPr>
                <w:rFonts w:hint="eastAsia" w:ascii="宋体" w:hAnsi="宋体" w:cs="宋体"/>
                <w:b/>
                <w:sz w:val="22"/>
                <w:szCs w:val="24"/>
              </w:rPr>
              <w:t>投票记录表（填写作品编号）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 w:hRule="atLeast"/>
          <w:jc w:val="center"/>
        </w:trPr>
        <w:tc>
          <w:tcPr>
            <w:tcW w:w="1113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48" w:type="dxa"/>
              <w:bottom w:w="0" w:type="dxa"/>
              <w:right w:w="14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  <w:r>
              <w:rPr>
                <w:rFonts w:ascii="宋体" w:hAnsi="宋体" w:cs="宋体"/>
                <w:sz w:val="22"/>
                <w:szCs w:val="24"/>
              </w:rPr>
              <w:t>附加轮</w:t>
            </w:r>
          </w:p>
        </w:tc>
        <w:tc>
          <w:tcPr>
            <w:tcW w:w="5947" w:type="dxa"/>
            <w:tcBorders>
              <w:top w:val="double" w:color="000000" w:sz="4" w:space="0"/>
              <w:left w:val="single" w:color="000000" w:sz="8" w:space="0"/>
              <w:bottom w:val="double" w:color="000000" w:sz="4" w:space="0"/>
              <w:right w:val="single" w:color="000000" w:sz="8" w:space="0"/>
            </w:tcBorders>
            <w:shd w:val="clear" w:color="auto" w:fill="auto"/>
            <w:tcMar>
              <w:top w:w="62" w:type="dxa"/>
              <w:left w:w="124" w:type="dxa"/>
              <w:bottom w:w="62" w:type="dxa"/>
              <w:right w:w="124" w:type="dxa"/>
            </w:tcMar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4"/>
              </w:rPr>
            </w:pPr>
          </w:p>
        </w:tc>
      </w:tr>
    </w:tbl>
    <w:p>
      <w:pPr>
        <w:pStyle w:val="16"/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（4）裁判组成员应当独立投票，自投票开始至最终排名统计结果公布期间，任何人不得非法干预、影响投票过程，不得透露、协商、改变投票结果。参赛选手的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木雕作品不得出现个人及单位信息的标记和记号，如有发现相关信息，可取消其竞赛成绩。</w:t>
      </w:r>
      <w:r>
        <w:rPr>
          <w:rFonts w:hint="eastAsia" w:ascii="宋体" w:hAnsi="宋体" w:cs="宋体"/>
          <w:sz w:val="24"/>
          <w:szCs w:val="24"/>
        </w:rPr>
        <w:t>裁判员评判时使用统一的检测工具，尽量使用选手所用工具。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（5）原则上，仅对参赛选手总数的</w:t>
      </w:r>
      <w:r>
        <w:rPr>
          <w:rFonts w:ascii="宋体" w:hAnsi="宋体" w:cs="宋体"/>
          <w:sz w:val="24"/>
          <w:szCs w:val="24"/>
        </w:rPr>
        <w:t>30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%（“进一法”取整）进行成绩排序。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评判过程中出现争议，由负责联系该赛项的总裁组成员组织裁判组表决。如参加表决的裁判组成员为双数，该总裁组成员参与表决。</w:t>
      </w:r>
    </w:p>
    <w:p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4.比赛场地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4.1场地设施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（1）场地设置两个区域，即工位区和赛场服务区（如图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所示）。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（2）工位边缘堆放比赛用工具，并预留2米参观通道。（如图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所示）。</w:t>
      </w:r>
    </w:p>
    <w:p>
      <w:pPr>
        <w:spacing w:line="360" w:lineRule="auto"/>
        <w:jc w:val="center"/>
      </w:pPr>
      <w:r>
        <w:drawing>
          <wp:inline distT="0" distB="0" distL="0" distR="0">
            <wp:extent cx="4872990" cy="4679950"/>
            <wp:effectExtent l="0" t="0" r="3810" b="635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73021" cy="46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 xml:space="preserve"> 木雕竞赛场地布置图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4.2竞赛工位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每个工位长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米，宽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米，共计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平方米，每个工位配备桌椅（桌子长*宽*高约为120*50*70cm，桌面需厚实；椅高42cm）和照明灯具，工位地面硬化、平整、无其他建筑物或构筑物干扰，工位采光、照明和通风良好，工作过程无雨水等环境因素影响（如图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所示）。</w:t>
      </w:r>
    </w:p>
    <w:p>
      <w:pPr>
        <w:spacing w:line="360" w:lineRule="auto"/>
        <w:jc w:val="center"/>
      </w:pPr>
      <w:r>
        <w:drawing>
          <wp:inline distT="0" distB="0" distL="0" distR="0">
            <wp:extent cx="3485515" cy="3599815"/>
            <wp:effectExtent l="0" t="0" r="635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85848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 xml:space="preserve"> 工位布置图</w:t>
      </w:r>
    </w:p>
    <w:p>
      <w:pPr>
        <w:pStyle w:val="2"/>
      </w:pPr>
      <w:r>
        <w:rPr>
          <w:rFonts w:hint="eastAsia"/>
        </w:rPr>
        <w:t>5.比赛料具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5.1主办方提供料具</w:t>
      </w:r>
    </w:p>
    <w:p>
      <w:pPr>
        <w:spacing w:line="360" w:lineRule="auto"/>
        <w:ind w:firstLine="463" w:firstLineChars="193"/>
        <w:jc w:val="left"/>
        <w:rPr>
          <w:rFonts w:cs="宋体" w:asciiTheme="minorEastAsia" w:hAnsiTheme="minorEastAsia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（1）太平祥瑞</w:t>
      </w:r>
      <w:r>
        <w:rPr>
          <w:rFonts w:hint="eastAsia" w:cs="宋体" w:asciiTheme="minorEastAsia" w:hAnsiTheme="minorEastAsia"/>
          <w:sz w:val="24"/>
          <w:szCs w:val="24"/>
        </w:rPr>
        <w:t>纹</w:t>
      </w:r>
      <w:r>
        <w:rPr>
          <w:rFonts w:hint="eastAsia" w:ascii="宋体" w:hAnsi="宋体" w:cs="宋体"/>
          <w:sz w:val="24"/>
          <w:szCs w:val="24"/>
        </w:rPr>
        <w:t>柁墩粗坯</w:t>
      </w:r>
      <w:r>
        <w:rPr>
          <w:rFonts w:hint="eastAsia" w:cs="宋体" w:asciiTheme="minorEastAsia" w:hAnsiTheme="minorEastAsia"/>
          <w:sz w:val="24"/>
          <w:szCs w:val="24"/>
        </w:rPr>
        <w:t>木料1块，材料为菠萝格木，尺寸长X宽X高为550mmX280mmX50mm。</w:t>
      </w:r>
    </w:p>
    <w:p>
      <w:pPr>
        <w:spacing w:line="360" w:lineRule="auto"/>
        <w:ind w:firstLine="463" w:firstLineChars="193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cs="宋体" w:asciiTheme="minorEastAsia" w:hAnsiTheme="minorEastAsia"/>
          <w:sz w:val="24"/>
          <w:szCs w:val="24"/>
        </w:rPr>
        <w:t>（2）1：1木雕图案线稿每工位2份。</w:t>
      </w:r>
    </w:p>
    <w:p>
      <w:pPr>
        <w:pStyle w:val="3"/>
        <w:rPr>
          <w:shd w:val="clear" w:color="auto" w:fill="auto"/>
        </w:rPr>
      </w:pPr>
      <w:r>
        <w:rPr>
          <w:rFonts w:hint="eastAsia"/>
          <w:shd w:val="clear" w:color="auto" w:fill="auto"/>
        </w:rPr>
        <w:t>5.2选手自带工具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）凿剔工具——斧、锤、凿、刻刀</w:t>
      </w:r>
    </w:p>
    <w:p>
      <w:pPr>
        <w:spacing w:line="360" w:lineRule="auto"/>
        <w:ind w:firstLine="617" w:firstLineChars="193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0" distR="0">
            <wp:extent cx="2229485" cy="1230630"/>
            <wp:effectExtent l="0" t="0" r="0" b="7620"/>
            <wp:docPr id="4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95"/>
                    <pic:cNvPicPr>
                      <a:picLocks noChangeAspect="1"/>
                    </pic:cNvPicPr>
                  </pic:nvPicPr>
                  <pic:blipFill>
                    <a:blip r:embed="rId16"/>
                    <a:srcRect t="22700"/>
                    <a:stretch>
                      <a:fillRect/>
                    </a:stretch>
                  </pic:blipFill>
                  <pic:spPr>
                    <a:xfrm>
                      <a:off x="0" y="0"/>
                      <a:ext cx="2230244" cy="123142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ascii="仿宋" w:hAnsi="仿宋" w:eastAsia="仿宋"/>
          <w:sz w:val="32"/>
          <w:szCs w:val="32"/>
        </w:rPr>
        <w:drawing>
          <wp:inline distT="0" distB="0" distL="0" distR="0">
            <wp:extent cx="1891030" cy="13182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171" b="15130"/>
                    <a:stretch>
                      <a:fillRect/>
                    </a:stretch>
                  </pic:blipFill>
                  <pic:spPr>
                    <a:xfrm>
                      <a:off x="0" y="0"/>
                      <a:ext cx="1899328" cy="132380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）其他工具：木工夹、垫子、记号笔、纸、尺、劳保与防护设备（防护镜、防护口罩、手套、安全帽、安全眼镜和安全鞋等）、清洁工具（抹布）等。</w:t>
      </w:r>
    </w:p>
    <w:p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参赛者可视自身情况自行决定所带参赛工具，但应在以上规定范围内选择，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擂台赛组委会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不为参赛者提供以上工具及材料。</w:t>
      </w:r>
    </w:p>
    <w:p>
      <w:pPr>
        <w:pStyle w:val="2"/>
      </w:pPr>
      <w:bookmarkStart w:id="0" w:name="_Toc4695"/>
      <w:bookmarkStart w:id="1" w:name="_Toc15635"/>
      <w:bookmarkStart w:id="2" w:name="_Toc20418"/>
      <w:bookmarkStart w:id="3" w:name="_Toc550"/>
      <w:bookmarkStart w:id="4" w:name="_Toc16283"/>
      <w:r>
        <w:t xml:space="preserve">6 </w:t>
      </w:r>
      <w:r>
        <w:rPr>
          <w:rFonts w:hint="eastAsia"/>
        </w:rPr>
        <w:t>.安全卫生作业要求</w:t>
      </w:r>
    </w:p>
    <w:p>
      <w:pPr>
        <w:pStyle w:val="16"/>
        <w:spacing w:line="360" w:lineRule="auto"/>
        <w:ind w:firstLine="48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5" w:name="_Hlk15502580"/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（1）每位选手自行配备个人防护用品，包括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防护镜、防护口罩、手套、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安全帽、安全眼镜和安全鞋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等、清洁工具（抹布、垫子）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等。</w:t>
      </w:r>
    </w:p>
    <w:p>
      <w:pPr>
        <w:pStyle w:val="16"/>
        <w:spacing w:line="360" w:lineRule="auto"/>
        <w:ind w:firstLine="48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（2）参赛选手在本竞赛工位内操作，避免伤害周边参赛选手。</w:t>
      </w:r>
    </w:p>
    <w:p>
      <w:pPr>
        <w:pStyle w:val="16"/>
        <w:spacing w:line="360" w:lineRule="auto"/>
        <w:ind w:firstLine="48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（3）高度注意使用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斧、凿、锤等工具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，避免伤害自己和他人。</w:t>
      </w:r>
    </w:p>
    <w:p>
      <w:pPr>
        <w:pStyle w:val="16"/>
        <w:spacing w:line="360" w:lineRule="auto"/>
        <w:ind w:firstLine="48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保持地面整洁，环境卫生，做到整理、整顿、清扫、清洁和素养。</w:t>
      </w:r>
    </w:p>
    <w:bookmarkEnd w:id="5"/>
    <w:p>
      <w:pPr>
        <w:pStyle w:val="2"/>
      </w:pPr>
      <w:r>
        <w:t>7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其他</w:t>
      </w:r>
    </w:p>
    <w:bookmarkEnd w:id="0"/>
    <w:bookmarkEnd w:id="1"/>
    <w:bookmarkEnd w:id="2"/>
    <w:bookmarkEnd w:id="3"/>
    <w:bookmarkEnd w:id="4"/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（1）竞赛流程。见竞赛指南、选手手册、裁判员手册，以上每一项手册都说明了竞赛流程。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（2）竞赛规则。见竞赛指南、选手手册、裁判员手册，以上每一项手册都说明了竞赛规则。</w:t>
      </w:r>
    </w:p>
    <w:p>
      <w:pPr>
        <w:ind w:firstLine="480" w:firstLineChars="200"/>
        <w:rPr>
          <w:rFonts w:eastAsia="宋体" w:asciiTheme="majorHAnsi" w:hAnsiTheme="majorHAnsi" w:cstheme="majorBidi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（3）本技术文件由本届擂台赛竞赛工作办公室下设的总裁组负责解释。</w:t>
      </w:r>
    </w:p>
    <w:p>
      <w:pPr>
        <w:spacing w:line="360" w:lineRule="auto"/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footerReference r:id="rId7" w:type="first"/>
      <w:footerReference r:id="rId6" w:type="default"/>
      <w:pgSz w:w="11906" w:h="16838"/>
      <w:pgMar w:top="1134" w:right="1417" w:bottom="1134" w:left="1417" w:header="170" w:footer="567" w:gutter="0"/>
      <w:pgNumType w:fmt="decimal"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</w:pPr>
    <w:r>
      <w:rPr>
        <w:rFonts w:hint="eastAsia" w:ascii="文鼎大标宋简" w:hAnsi="宋体" w:eastAsia="文鼎大标宋简"/>
        <w:b/>
        <w:color w:val="000000"/>
        <w:szCs w:val="21"/>
      </w:rPr>
      <w:drawing>
        <wp:inline distT="0" distB="0" distL="114300" distR="114300">
          <wp:extent cx="280035" cy="385445"/>
          <wp:effectExtent l="0" t="0" r="9525" b="10795"/>
          <wp:docPr id="6" name="图片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035" cy="385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文鼎大标宋简" w:hAnsi="宋体" w:eastAsia="文鼎大标宋简"/>
        <w:b/>
        <w:color w:val="000000"/>
        <w:szCs w:val="21"/>
        <w:lang w:val="en-US" w:eastAsia="zh-CN"/>
      </w:rPr>
      <w:t xml:space="preserve">                                                   </w:t>
    </w:r>
    <w:r>
      <w:rPr>
        <w:rStyle w:val="11"/>
        <w:rFonts w:hint="eastAsia"/>
        <w:sz w:val="21"/>
        <w:szCs w:val="21"/>
      </w:rPr>
      <w:t>广州市第六届建筑工匠技能擂台赛技术文件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BFADB4"/>
    <w:multiLevelType w:val="singleLevel"/>
    <w:tmpl w:val="A4BFAD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69"/>
    <w:rsid w:val="00027D27"/>
    <w:rsid w:val="00055641"/>
    <w:rsid w:val="000601CD"/>
    <w:rsid w:val="00060578"/>
    <w:rsid w:val="00067B9E"/>
    <w:rsid w:val="000867C6"/>
    <w:rsid w:val="000A6F8E"/>
    <w:rsid w:val="000B70D3"/>
    <w:rsid w:val="000C47E1"/>
    <w:rsid w:val="000E1236"/>
    <w:rsid w:val="00100B7F"/>
    <w:rsid w:val="0011731E"/>
    <w:rsid w:val="00151FBE"/>
    <w:rsid w:val="00163FB0"/>
    <w:rsid w:val="0016571D"/>
    <w:rsid w:val="00182684"/>
    <w:rsid w:val="0019212B"/>
    <w:rsid w:val="001A6857"/>
    <w:rsid w:val="001B0A1E"/>
    <w:rsid w:val="001C7D28"/>
    <w:rsid w:val="001D23BE"/>
    <w:rsid w:val="00215E98"/>
    <w:rsid w:val="002171B9"/>
    <w:rsid w:val="00222081"/>
    <w:rsid w:val="00227871"/>
    <w:rsid w:val="002351CE"/>
    <w:rsid w:val="00236E33"/>
    <w:rsid w:val="0025226C"/>
    <w:rsid w:val="00255B33"/>
    <w:rsid w:val="00257D06"/>
    <w:rsid w:val="002C4279"/>
    <w:rsid w:val="002D4501"/>
    <w:rsid w:val="002F168D"/>
    <w:rsid w:val="00341AFC"/>
    <w:rsid w:val="00350048"/>
    <w:rsid w:val="00392703"/>
    <w:rsid w:val="00397418"/>
    <w:rsid w:val="003C7793"/>
    <w:rsid w:val="003F711A"/>
    <w:rsid w:val="00402F26"/>
    <w:rsid w:val="0041614A"/>
    <w:rsid w:val="00432013"/>
    <w:rsid w:val="00462321"/>
    <w:rsid w:val="004716FF"/>
    <w:rsid w:val="004945F4"/>
    <w:rsid w:val="004C30DE"/>
    <w:rsid w:val="004E57AA"/>
    <w:rsid w:val="004F5410"/>
    <w:rsid w:val="00501CAA"/>
    <w:rsid w:val="0052434A"/>
    <w:rsid w:val="00525453"/>
    <w:rsid w:val="00531C70"/>
    <w:rsid w:val="00535E10"/>
    <w:rsid w:val="005B07F8"/>
    <w:rsid w:val="005C638D"/>
    <w:rsid w:val="005D7D8A"/>
    <w:rsid w:val="005F3145"/>
    <w:rsid w:val="00605E73"/>
    <w:rsid w:val="00606966"/>
    <w:rsid w:val="00613278"/>
    <w:rsid w:val="00623D90"/>
    <w:rsid w:val="00627950"/>
    <w:rsid w:val="006311EC"/>
    <w:rsid w:val="0065697C"/>
    <w:rsid w:val="00681C89"/>
    <w:rsid w:val="006C4BE0"/>
    <w:rsid w:val="00712F45"/>
    <w:rsid w:val="00715626"/>
    <w:rsid w:val="00746B70"/>
    <w:rsid w:val="00752B08"/>
    <w:rsid w:val="00754AE5"/>
    <w:rsid w:val="00765958"/>
    <w:rsid w:val="007743BC"/>
    <w:rsid w:val="007855A8"/>
    <w:rsid w:val="00792E8E"/>
    <w:rsid w:val="007C141C"/>
    <w:rsid w:val="007D4F69"/>
    <w:rsid w:val="007D6546"/>
    <w:rsid w:val="00801CA5"/>
    <w:rsid w:val="008533E3"/>
    <w:rsid w:val="008723C9"/>
    <w:rsid w:val="00875D5E"/>
    <w:rsid w:val="008D22D3"/>
    <w:rsid w:val="008E1CAC"/>
    <w:rsid w:val="008E5CDA"/>
    <w:rsid w:val="008F2082"/>
    <w:rsid w:val="008F6D00"/>
    <w:rsid w:val="009005A0"/>
    <w:rsid w:val="009101F0"/>
    <w:rsid w:val="00912BA8"/>
    <w:rsid w:val="00916CD0"/>
    <w:rsid w:val="00941AC1"/>
    <w:rsid w:val="00944441"/>
    <w:rsid w:val="009658D0"/>
    <w:rsid w:val="009841D3"/>
    <w:rsid w:val="009A60B2"/>
    <w:rsid w:val="009D21D6"/>
    <w:rsid w:val="00A337A8"/>
    <w:rsid w:val="00A538A8"/>
    <w:rsid w:val="00A54457"/>
    <w:rsid w:val="00A869A4"/>
    <w:rsid w:val="00A95E74"/>
    <w:rsid w:val="00AD686D"/>
    <w:rsid w:val="00B02677"/>
    <w:rsid w:val="00B1743B"/>
    <w:rsid w:val="00B25191"/>
    <w:rsid w:val="00B45DD4"/>
    <w:rsid w:val="00B63776"/>
    <w:rsid w:val="00B965C6"/>
    <w:rsid w:val="00BF1E64"/>
    <w:rsid w:val="00C14CD1"/>
    <w:rsid w:val="00C213ED"/>
    <w:rsid w:val="00C42395"/>
    <w:rsid w:val="00C51F96"/>
    <w:rsid w:val="00C84122"/>
    <w:rsid w:val="00C915EB"/>
    <w:rsid w:val="00CA456B"/>
    <w:rsid w:val="00CB3D63"/>
    <w:rsid w:val="00CC352D"/>
    <w:rsid w:val="00CD0669"/>
    <w:rsid w:val="00CD7629"/>
    <w:rsid w:val="00CE4F46"/>
    <w:rsid w:val="00CF2A9B"/>
    <w:rsid w:val="00D15868"/>
    <w:rsid w:val="00D15E35"/>
    <w:rsid w:val="00D2326F"/>
    <w:rsid w:val="00D317D8"/>
    <w:rsid w:val="00D31CAF"/>
    <w:rsid w:val="00D40ECA"/>
    <w:rsid w:val="00D43C96"/>
    <w:rsid w:val="00D45B4D"/>
    <w:rsid w:val="00D471E7"/>
    <w:rsid w:val="00D5626F"/>
    <w:rsid w:val="00D66DE0"/>
    <w:rsid w:val="00D84634"/>
    <w:rsid w:val="00DB528E"/>
    <w:rsid w:val="00DE064B"/>
    <w:rsid w:val="00DE12AD"/>
    <w:rsid w:val="00DF6769"/>
    <w:rsid w:val="00E203A9"/>
    <w:rsid w:val="00E21755"/>
    <w:rsid w:val="00E23E02"/>
    <w:rsid w:val="00E663FC"/>
    <w:rsid w:val="00E75883"/>
    <w:rsid w:val="00ED686A"/>
    <w:rsid w:val="00EF41EA"/>
    <w:rsid w:val="00EF7106"/>
    <w:rsid w:val="00F05522"/>
    <w:rsid w:val="00F14EFC"/>
    <w:rsid w:val="00F15DB8"/>
    <w:rsid w:val="00F34434"/>
    <w:rsid w:val="00F515E9"/>
    <w:rsid w:val="00F86F2D"/>
    <w:rsid w:val="00F92F80"/>
    <w:rsid w:val="00F95BD5"/>
    <w:rsid w:val="00FA085B"/>
    <w:rsid w:val="00FC6A63"/>
    <w:rsid w:val="00FC7A6F"/>
    <w:rsid w:val="00FD5355"/>
    <w:rsid w:val="00FE310A"/>
    <w:rsid w:val="2615698F"/>
    <w:rsid w:val="2FDA3E8A"/>
    <w:rsid w:val="44284795"/>
    <w:rsid w:val="444212AF"/>
    <w:rsid w:val="6B5B78D7"/>
    <w:rsid w:val="7576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4"/>
    <w:unhideWhenUsed/>
    <w:qFormat/>
    <w:uiPriority w:val="0"/>
    <w:pPr>
      <w:keepNext/>
      <w:keepLines/>
      <w:spacing w:line="360" w:lineRule="auto"/>
      <w:outlineLvl w:val="1"/>
    </w:pPr>
    <w:rPr>
      <w:rFonts w:eastAsia="宋体" w:asciiTheme="majorHAnsi" w:hAnsiTheme="majorHAnsi" w:cstheme="majorBidi"/>
      <w:b/>
      <w:bCs/>
      <w:sz w:val="24"/>
      <w:szCs w:val="32"/>
    </w:rPr>
  </w:style>
  <w:style w:type="paragraph" w:styleId="3">
    <w:name w:val="heading 3"/>
    <w:basedOn w:val="1"/>
    <w:next w:val="1"/>
    <w:link w:val="15"/>
    <w:qFormat/>
    <w:uiPriority w:val="0"/>
    <w:pPr>
      <w:keepNext/>
      <w:keepLines/>
      <w:spacing w:line="360" w:lineRule="auto"/>
      <w:jc w:val="left"/>
      <w:outlineLvl w:val="2"/>
    </w:pPr>
    <w:rPr>
      <w:rFonts w:ascii="宋体" w:hAnsi="宋体" w:eastAsia="宋体" w:cs="Times New Roman"/>
      <w:b/>
      <w:spacing w:val="-2"/>
      <w:sz w:val="24"/>
      <w:szCs w:val="20"/>
      <w:shd w:val="pct10" w:color="auto" w:fill="FFFFFF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4">
    <w:name w:val="标题 2 字符"/>
    <w:basedOn w:val="10"/>
    <w:link w:val="2"/>
    <w:qFormat/>
    <w:uiPriority w:val="0"/>
    <w:rPr>
      <w:rFonts w:eastAsia="宋体" w:asciiTheme="majorHAnsi" w:hAnsiTheme="majorHAnsi" w:cstheme="majorBidi"/>
      <w:b/>
      <w:bCs/>
      <w:sz w:val="24"/>
      <w:szCs w:val="32"/>
    </w:rPr>
  </w:style>
  <w:style w:type="character" w:customStyle="1" w:styleId="15">
    <w:name w:val="标题 3 字符"/>
    <w:basedOn w:val="10"/>
    <w:link w:val="3"/>
    <w:qFormat/>
    <w:uiPriority w:val="0"/>
    <w:rPr>
      <w:rFonts w:ascii="宋体" w:hAnsi="宋体" w:eastAsia="宋体" w:cs="Times New Roman"/>
      <w:b/>
      <w:spacing w:val="-2"/>
      <w:sz w:val="24"/>
      <w:szCs w:val="20"/>
    </w:rPr>
  </w:style>
  <w:style w:type="paragraph" w:customStyle="1" w:styleId="16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Text"/>
    <w:basedOn w:val="1"/>
    <w:qFormat/>
    <w:uiPriority w:val="0"/>
    <w:pPr>
      <w:widowControl/>
      <w:overflowPunct w:val="0"/>
      <w:autoSpaceDE w:val="0"/>
      <w:autoSpaceDN w:val="0"/>
      <w:adjustRightInd w:val="0"/>
      <w:spacing w:line="360" w:lineRule="atLeast"/>
      <w:ind w:firstLine="540"/>
      <w:jc w:val="left"/>
      <w:textAlignment w:val="baseline"/>
    </w:pPr>
    <w:rPr>
      <w:rFonts w:ascii="宋体" w:hAnsi="Times New Roman" w:eastAsia="宋体" w:cs="Times New Roman"/>
      <w:spacing w:val="-5"/>
      <w:kern w:val="0"/>
      <w:sz w:val="24"/>
      <w:szCs w:val="20"/>
    </w:rPr>
  </w:style>
  <w:style w:type="character" w:customStyle="1" w:styleId="19">
    <w:name w:val="标题 字符"/>
    <w:basedOn w:val="10"/>
    <w:link w:val="7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0.jpe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CDA4A3-E4F5-402C-BBC8-916A8CF6E6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489</Words>
  <Characters>2793</Characters>
  <Lines>23</Lines>
  <Paragraphs>6</Paragraphs>
  <TotalTime>0</TotalTime>
  <ScaleCrop>false</ScaleCrop>
  <LinksUpToDate>false</LinksUpToDate>
  <CharactersWithSpaces>3276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2021-07-21T02:01:00Z</dcterms:created>
  <dc:creator>未定义</dc:creator>
  <cp:lastModifiedBy>刘佩</cp:lastModifiedBy>
  <cp:lastPrinted>2021-05-08T05:17:00Z</cp:lastPrinted>
  <dcterms:modified xsi:type="dcterms:W3CDTF">2021-08-03T03:26:37Z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DBB2CE52F1C243F3A87AA047E466AA47</vt:lpwstr>
  </property>
</Properties>
</file>