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default" w:ascii="Times New Roman" w:hAnsi="Times New Roman" w:eastAsia="宋体" w:cs="Times New Roman"/>
          <w:sz w:val="24"/>
          <w:szCs w:val="20"/>
          <w:lang w:val="en-US" w:eastAsia="zh-CN"/>
        </w:rPr>
        <w:t xml:space="preserve">   </w:t>
      </w:r>
      <w:r>
        <w:rPr>
          <w:rFonts w:hint="eastAsia" w:cs="Times New Roman"/>
          <w:sz w:val="24"/>
          <w:szCs w:val="20"/>
          <w:lang w:val="en-US" w:eastAsia="zh-CN"/>
        </w:rPr>
        <w:t xml:space="preserve"> </w:t>
      </w:r>
      <w:r>
        <w:rPr>
          <w:rFonts w:hint="default" w:cs="Times New Roman"/>
          <w:sz w:val="24"/>
          <w:szCs w:val="20"/>
          <w:lang w:val="en-US" w:eastAsia="zh-CN"/>
        </w:rPr>
        <w:t xml:space="preserve">    </w:t>
      </w:r>
      <w:r>
        <w:rPr>
          <w:rFonts w:hint="eastAsia" w:cs="Times New Roman"/>
          <w:sz w:val="24"/>
          <w:szCs w:val="20"/>
          <w:lang w:val="en-US" w:eastAsia="zh-CN"/>
        </w:rPr>
        <w:t xml:space="preserve">                         </w:t>
      </w:r>
      <w:bookmarkStart w:id="0" w:name="_GoBack"/>
      <w:r>
        <w:rPr>
          <w:rFonts w:hint="eastAsia" w:ascii="黑体" w:hAnsi="黑体" w:eastAsia="黑体" w:cs="黑体"/>
          <w:b w:val="0"/>
          <w:bCs w:val="0"/>
          <w:sz w:val="32"/>
          <w:szCs w:val="32"/>
          <w:lang w:val="en-US" w:eastAsia="zh-CN"/>
        </w:rPr>
        <w:t>建筑市场有关违法违规行为罚则汇总</w:t>
      </w:r>
    </w:p>
    <w:bookmarkEnd w:id="0"/>
    <w:tbl>
      <w:tblPr>
        <w:tblStyle w:val="5"/>
        <w:tblpPr w:leftFromText="180" w:rightFromText="180" w:vertAnchor="page" w:horzAnchor="page" w:tblpX="1740" w:tblpY="2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663"/>
        <w:gridCol w:w="1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82" w:type="dxa"/>
            <w:noWrap w:val="0"/>
            <w:vAlign w:val="center"/>
          </w:tcPr>
          <w:p>
            <w:pPr>
              <w:spacing w:line="240" w:lineRule="auto"/>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序号</w:t>
            </w:r>
          </w:p>
        </w:tc>
        <w:tc>
          <w:tcPr>
            <w:tcW w:w="1663" w:type="dxa"/>
            <w:noWrap w:val="0"/>
            <w:vAlign w:val="top"/>
          </w:tcPr>
          <w:p>
            <w:pPr>
              <w:spacing w:line="240" w:lineRule="auto"/>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违法违规</w:t>
            </w:r>
          </w:p>
          <w:p>
            <w:pPr>
              <w:spacing w:line="240" w:lineRule="auto"/>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rPr>
              <w:t>情形简称</w:t>
            </w:r>
          </w:p>
        </w:tc>
        <w:tc>
          <w:tcPr>
            <w:tcW w:w="11154" w:type="dxa"/>
            <w:noWrap w:val="0"/>
            <w:vAlign w:val="center"/>
          </w:tcPr>
          <w:p>
            <w:pPr>
              <w:tabs>
                <w:tab w:val="left" w:pos="718"/>
              </w:tabs>
              <w:spacing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具 体 罚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663" w:type="dxa"/>
            <w:noWrap w:val="0"/>
            <w:vAlign w:val="center"/>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bCs/>
                <w:sz w:val="30"/>
                <w:szCs w:val="30"/>
                <w:vertAlign w:val="baseline"/>
              </w:rPr>
              <w:t>违法发包</w:t>
            </w:r>
          </w:p>
        </w:tc>
        <w:tc>
          <w:tcPr>
            <w:tcW w:w="11154" w:type="dxa"/>
            <w:noWrap w:val="0"/>
            <w:vAlign w:val="top"/>
          </w:tcPr>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一、《中华人民共和国建筑法》第六十五条第一款:发包单位将工程发包给不具有相应资质条件的承包单位的，或者违反本法规定将建筑工程肢解发包的，责令改正，处以罚款。</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二、《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三、《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四、《中华人民共和国招标投标法实施条例》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五、《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六、《招标投标法实施条例》第六十三条规定：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p>
            <w:pPr>
              <w:pStyle w:val="2"/>
              <w:rPr>
                <w:rFonts w:hint="eastAsia"/>
              </w:rPr>
            </w:pP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七、《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w:t>
            </w:r>
          </w:p>
        </w:tc>
        <w:tc>
          <w:tcPr>
            <w:tcW w:w="1663" w:type="dxa"/>
            <w:noWrap w:val="0"/>
            <w:vAlign w:val="center"/>
          </w:tcPr>
          <w:p>
            <w:pPr>
              <w:jc w:val="center"/>
              <w:rPr>
                <w:rFonts w:hint="eastAsia" w:ascii="仿宋_GB2312" w:hAnsi="仿宋_GB2312" w:eastAsia="仿宋_GB2312" w:cs="仿宋_GB2312"/>
                <w:b/>
                <w:bCs/>
                <w:sz w:val="30"/>
                <w:szCs w:val="30"/>
                <w:vertAlign w:val="baseline"/>
              </w:rPr>
            </w:pPr>
            <w:r>
              <w:rPr>
                <w:rFonts w:hint="eastAsia" w:ascii="仿宋_GB2312" w:hAnsi="仿宋_GB2312" w:eastAsia="仿宋_GB2312" w:cs="仿宋_GB2312"/>
                <w:b/>
                <w:bCs/>
                <w:sz w:val="30"/>
                <w:szCs w:val="30"/>
                <w:vertAlign w:val="baseline"/>
              </w:rPr>
              <w:t>转包、违法分包</w:t>
            </w:r>
          </w:p>
        </w:tc>
        <w:tc>
          <w:tcPr>
            <w:tcW w:w="11154" w:type="dxa"/>
            <w:noWrap w:val="0"/>
            <w:vAlign w:val="top"/>
          </w:tcPr>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w:t>
            </w: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rPr>
              <w:t>一、《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二、《中华人民共和国建筑法》第六十五条第三款：未取得资质证书承揽工程的，予以取缔，并处罚款；有违法所得的，予以没收。</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三、《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3</w:t>
            </w:r>
          </w:p>
        </w:tc>
        <w:tc>
          <w:tcPr>
            <w:tcW w:w="1663" w:type="dxa"/>
            <w:noWrap w:val="0"/>
            <w:vAlign w:val="center"/>
          </w:tcPr>
          <w:p>
            <w:pPr>
              <w:jc w:val="center"/>
              <w:rPr>
                <w:rFonts w:hint="eastAsia" w:ascii="仿宋_GB2312" w:hAnsi="仿宋_GB2312" w:eastAsia="仿宋_GB2312" w:cs="仿宋_GB2312"/>
                <w:b/>
                <w:bCs/>
                <w:sz w:val="30"/>
                <w:szCs w:val="30"/>
                <w:vertAlign w:val="baseline"/>
                <w:lang w:eastAsia="zh-CN"/>
              </w:rPr>
            </w:pPr>
            <w:r>
              <w:rPr>
                <w:rFonts w:hint="eastAsia" w:ascii="仿宋_GB2312" w:hAnsi="仿宋_GB2312" w:eastAsia="仿宋_GB2312" w:cs="仿宋_GB2312"/>
                <w:b/>
                <w:bCs/>
                <w:sz w:val="30"/>
                <w:szCs w:val="30"/>
                <w:vertAlign w:val="baseline"/>
                <w:lang w:eastAsia="zh-CN"/>
              </w:rPr>
              <w:t>挂靠</w:t>
            </w:r>
          </w:p>
        </w:tc>
        <w:tc>
          <w:tcPr>
            <w:tcW w:w="11154" w:type="dxa"/>
            <w:noWrap w:val="0"/>
            <w:vAlign w:val="top"/>
          </w:tcPr>
          <w:p>
            <w:pPr>
              <w:tabs>
                <w:tab w:val="left" w:pos="1317"/>
              </w:tabs>
              <w:ind w:firstLine="420" w:firstLineChars="200"/>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一、《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tabs>
                <w:tab w:val="left" w:pos="1317"/>
              </w:tabs>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 xml:space="preserve">    二、《中华人民共和国建筑法》第六十五条第三款：未取得资质证书承揽工程的，予以取缔，并处罚款；有违法所得的，予以没收。</w:t>
            </w:r>
          </w:p>
          <w:p>
            <w:pPr>
              <w:tabs>
                <w:tab w:val="left" w:pos="1317"/>
              </w:tabs>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 xml:space="preserve">    三、《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4</w:t>
            </w:r>
          </w:p>
        </w:tc>
        <w:tc>
          <w:tcPr>
            <w:tcW w:w="1663"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转让、出借资质证书或者以其他方式允许他人以本单位的名义承揽工程</w:t>
            </w:r>
          </w:p>
        </w:tc>
        <w:tc>
          <w:tcPr>
            <w:tcW w:w="11154" w:type="dxa"/>
            <w:noWrap w:val="0"/>
            <w:vAlign w:val="center"/>
          </w:tcPr>
          <w:p>
            <w:pPr>
              <w:numPr>
                <w:ilvl w:val="0"/>
                <w:numId w:val="0"/>
              </w:numPr>
              <w:ind w:firstLine="420" w:firstLineChars="200"/>
              <w:jc w:val="both"/>
              <w:rPr>
                <w:rFonts w:hint="eastAsia" w:ascii="仿宋_GB2312" w:hAnsi="仿宋_GB2312" w:eastAsia="仿宋_GB2312" w:cs="仿宋_GB2312"/>
                <w:vertAlign w:val="baseline"/>
              </w:rPr>
            </w:pPr>
            <w:r>
              <w:rPr>
                <w:rFonts w:hint="eastAsia" w:ascii="仿宋_GB2312" w:hAnsi="仿宋_GB2312" w:eastAsia="仿宋_GB2312" w:cs="仿宋_GB2312"/>
                <w:vertAlign w:val="baseline"/>
                <w:lang w:eastAsia="zh-CN"/>
              </w:rPr>
              <w:t>一、</w:t>
            </w:r>
            <w:r>
              <w:rPr>
                <w:rFonts w:hint="eastAsia" w:ascii="仿宋_GB2312" w:hAnsi="仿宋_GB2312" w:eastAsia="仿宋_GB2312" w:cs="仿宋_GB2312"/>
                <w:vertAlign w:val="baseline"/>
              </w:rPr>
              <w:t>《中华人民共和国建筑法》第六十六条：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numPr>
                <w:ilvl w:val="0"/>
                <w:numId w:val="0"/>
              </w:numPr>
              <w:ind w:firstLine="420" w:firstLineChars="200"/>
              <w:jc w:val="both"/>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二、《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5</w:t>
            </w:r>
          </w:p>
        </w:tc>
        <w:tc>
          <w:tcPr>
            <w:tcW w:w="1663" w:type="dxa"/>
            <w:noWrap w:val="0"/>
            <w:vAlign w:val="center"/>
          </w:tcPr>
          <w:p>
            <w:pPr>
              <w:jc w:val="center"/>
              <w:rPr>
                <w:rFonts w:hint="eastAsia" w:ascii="仿宋_GB2312" w:hAnsi="仿宋_GB2312" w:eastAsia="仿宋_GB2312" w:cs="仿宋_GB2312"/>
                <w:b/>
                <w:bCs/>
                <w:sz w:val="30"/>
                <w:szCs w:val="30"/>
                <w:vertAlign w:val="baseline"/>
              </w:rPr>
            </w:pPr>
            <w:r>
              <w:rPr>
                <w:rFonts w:hint="eastAsia" w:ascii="仿宋_GB2312" w:hAnsi="仿宋_GB2312" w:eastAsia="仿宋_GB2312" w:cs="仿宋_GB2312"/>
                <w:b/>
                <w:bCs/>
                <w:sz w:val="30"/>
                <w:szCs w:val="30"/>
                <w:vertAlign w:val="baseline"/>
              </w:rPr>
              <w:t>超越资质等级承揽工程</w:t>
            </w:r>
          </w:p>
        </w:tc>
        <w:tc>
          <w:tcPr>
            <w:tcW w:w="11154" w:type="dxa"/>
            <w:noWrap w:val="0"/>
            <w:vAlign w:val="top"/>
          </w:tcPr>
          <w:p>
            <w:pPr>
              <w:ind w:firstLine="420" w:firstLineChars="200"/>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一、《中华人民共和国建筑法》第六十五条第二款；超越本单位资质等级承揽工程的，责令停止违法行为，处以罚款，可以责令停业整顿，降低资质等级；情节严重的，吊销资质证书；有违法所得的，予以没收。</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二、《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pStyle w:val="2"/>
              <w:rPr>
                <w:rFonts w:hint="eastAsia"/>
              </w:rPr>
            </w:pPr>
          </w:p>
          <w:p>
            <w:pPr>
              <w:pStyle w:val="2"/>
              <w:rPr>
                <w:rFonts w:hint="eastAsia"/>
              </w:rPr>
            </w:pPr>
          </w:p>
          <w:p>
            <w:pPr>
              <w:pStyle w:val="2"/>
              <w:rPr>
                <w:rFonts w:hint="eastAsia"/>
              </w:rPr>
            </w:pPr>
          </w:p>
          <w:p>
            <w:pPr>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6</w:t>
            </w:r>
          </w:p>
        </w:tc>
        <w:tc>
          <w:tcPr>
            <w:tcW w:w="1663" w:type="dxa"/>
            <w:noWrap w:val="0"/>
            <w:vAlign w:val="center"/>
          </w:tcPr>
          <w:p>
            <w:pPr>
              <w:jc w:val="center"/>
              <w:rPr>
                <w:rFonts w:hint="eastAsia" w:ascii="仿宋_GB2312" w:hAnsi="仿宋_GB2312" w:eastAsia="仿宋_GB2312" w:cs="仿宋_GB2312"/>
                <w:b/>
                <w:bCs/>
                <w:sz w:val="30"/>
                <w:szCs w:val="30"/>
                <w:vertAlign w:val="baseline"/>
              </w:rPr>
            </w:pPr>
            <w:r>
              <w:rPr>
                <w:rFonts w:hint="eastAsia" w:ascii="仿宋_GB2312" w:hAnsi="仿宋_GB2312" w:eastAsia="仿宋_GB2312" w:cs="仿宋_GB2312"/>
                <w:b/>
                <w:bCs/>
                <w:sz w:val="30"/>
                <w:szCs w:val="30"/>
                <w:vertAlign w:val="baseline"/>
              </w:rPr>
              <w:t>对单位直接负责的主管人员和其他直接责任人员的处罚</w:t>
            </w:r>
          </w:p>
        </w:tc>
        <w:tc>
          <w:tcPr>
            <w:tcW w:w="11154" w:type="dxa"/>
            <w:noWrap w:val="0"/>
            <w:vAlign w:val="top"/>
          </w:tcPr>
          <w:p>
            <w:pPr>
              <w:ind w:firstLine="420" w:firstLineChars="200"/>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一、《建设工程质量管理条例》第七十三条：依照本条例规定，给予单位罚款处罚的，对单位直接负责的主管人员和其他直接责任人员处单位罚款数额百分之五以上百分之十以下的罚款。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7</w:t>
            </w:r>
          </w:p>
        </w:tc>
        <w:tc>
          <w:tcPr>
            <w:tcW w:w="1663" w:type="dxa"/>
            <w:noWrap w:val="0"/>
            <w:vAlign w:val="center"/>
          </w:tcPr>
          <w:p>
            <w:pPr>
              <w:jc w:val="center"/>
              <w:rPr>
                <w:rFonts w:hint="eastAsia" w:ascii="仿宋_GB2312" w:hAnsi="仿宋_GB2312" w:eastAsia="仿宋_GB2312" w:cs="仿宋_GB2312"/>
                <w:b/>
                <w:bCs/>
                <w:sz w:val="30"/>
                <w:szCs w:val="30"/>
                <w:vertAlign w:val="baseline"/>
              </w:rPr>
            </w:pPr>
            <w:r>
              <w:rPr>
                <w:rFonts w:hint="eastAsia" w:ascii="仿宋_GB2312" w:hAnsi="仿宋_GB2312" w:eastAsia="仿宋_GB2312" w:cs="仿宋_GB2312"/>
                <w:b/>
                <w:bCs/>
                <w:sz w:val="30"/>
                <w:szCs w:val="30"/>
                <w:vertAlign w:val="baseline"/>
              </w:rPr>
              <w:t>情节严重情形</w:t>
            </w:r>
          </w:p>
        </w:tc>
        <w:tc>
          <w:tcPr>
            <w:tcW w:w="11154" w:type="dxa"/>
            <w:noWrap w:val="0"/>
            <w:vAlign w:val="top"/>
          </w:tcPr>
          <w:p>
            <w:pPr>
              <w:tabs>
                <w:tab w:val="left" w:pos="867"/>
              </w:tabs>
              <w:ind w:firstLine="420" w:firstLineChars="200"/>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一、《建筑工程施工发包与承包违法行为认定查处管理办法》第十五条第六款第二项：对2年内发生2次及以上转包、违法分包、挂靠、转让出借资质证书或者以其他方式允许他人以本单位的名义承揽工程的施工单位。</w:t>
            </w:r>
          </w:p>
          <w:p>
            <w:pPr>
              <w:tabs>
                <w:tab w:val="left" w:pos="867"/>
              </w:tabs>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 xml:space="preserve">    二、《建筑工程施工发包与承包违法行为认定查处管理办法》第十五条第七款：因违法发包、转包、违法分包、挂靠等违法行为导致发生质量安全事故的。</w:t>
            </w:r>
            <w:r>
              <w:rPr>
                <w:rFonts w:hint="eastAsia" w:ascii="仿宋_GB2312" w:hAnsi="仿宋_GB2312" w:eastAsia="仿宋_GB2312" w:cs="仿宋_GB2312"/>
                <w:vertAlign w:val="baseli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pPr>
              <w:jc w:val="center"/>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8</w:t>
            </w:r>
          </w:p>
        </w:tc>
        <w:tc>
          <w:tcPr>
            <w:tcW w:w="1663" w:type="dxa"/>
            <w:noWrap w:val="0"/>
            <w:vAlign w:val="center"/>
          </w:tcPr>
          <w:p>
            <w:pPr>
              <w:jc w:val="center"/>
              <w:rPr>
                <w:rFonts w:hint="eastAsia" w:ascii="仿宋_GB2312" w:hAnsi="仿宋_GB2312" w:eastAsia="仿宋_GB2312" w:cs="仿宋_GB2312"/>
                <w:b/>
                <w:bCs/>
                <w:sz w:val="30"/>
                <w:szCs w:val="30"/>
                <w:vertAlign w:val="baseline"/>
              </w:rPr>
            </w:pPr>
            <w:r>
              <w:rPr>
                <w:rFonts w:hint="eastAsia" w:ascii="仿宋_GB2312" w:hAnsi="仿宋_GB2312" w:eastAsia="仿宋_GB2312" w:cs="仿宋_GB2312"/>
                <w:b/>
                <w:bCs/>
                <w:sz w:val="30"/>
                <w:szCs w:val="30"/>
                <w:vertAlign w:val="baseline"/>
              </w:rPr>
              <w:t>其他行政管理措施</w:t>
            </w:r>
          </w:p>
        </w:tc>
        <w:tc>
          <w:tcPr>
            <w:tcW w:w="11154" w:type="dxa"/>
            <w:noWrap w:val="0"/>
            <w:vAlign w:val="top"/>
          </w:tcPr>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w:t>
            </w: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rPr>
              <w:t>一、《建筑工程施工发包与承包违法行为认定查处管理办法》第十五条第六款第一项：对认定有转包、违法分包、挂靠、转让出借资质证书或者以其他方式允许他人以本单位的名义承揽工程等违法行为的施工单位，可依法限制其参加工程投标活动、承揽新的工程项目，并对其企业资质是否满足资质标准条件进行核查，对达不到资质标准要求的限期整改，整改后仍达不到要求的，资质审批机关撤回其资质证书。</w:t>
            </w:r>
          </w:p>
          <w:p>
            <w:pPr>
              <w:rPr>
                <w:rFonts w:hint="eastAsia" w:ascii="仿宋_GB2312" w:hAnsi="仿宋_GB2312" w:eastAsia="仿宋_GB2312" w:cs="仿宋_GB2312"/>
                <w:vertAlign w:val="baseline"/>
              </w:rPr>
            </w:pPr>
            <w:r>
              <w:rPr>
                <w:rFonts w:hint="eastAsia" w:ascii="仿宋_GB2312" w:hAnsi="仿宋_GB2312" w:eastAsia="仿宋_GB2312" w:cs="仿宋_GB2312"/>
                <w:vertAlign w:val="baseline"/>
              </w:rPr>
              <w:t xml:space="preserve">    二、《建筑工程施工发包与承包违法行为认定查处管理办法》第十七条：县级以上人民政府住房和城乡建设主管部门应将查处的违法发包、转包、违法分包、挂靠等违法行为和处罚结果记入相关单位或个人信用档案，同时向社会公示，并逐级上报至住房和城乡建设部，在全国建筑市场监管公共服务平台公示。</w:t>
            </w:r>
          </w:p>
        </w:tc>
      </w:tr>
    </w:tbl>
    <w:p/>
    <w:sectPr>
      <w:footerReference r:id="rId3" w:type="default"/>
      <w:pgSz w:w="16838" w:h="11906" w:orient="landscape"/>
      <w:pgMar w:top="1587" w:right="1644" w:bottom="1587" w:left="113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04C98"/>
    <w:rsid w:val="70D0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2022-04-13T08:54:00Z</dcterms:created>
  <dc:creator>陈桂玲</dc:creator>
  <cp:lastModifiedBy>陈桂玲</cp:lastModifiedBy>
  <dcterms:modified xsi:type="dcterms:W3CDTF">2022-04-13T08:59:05Z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EFD33C55C0E042C987EE41101D81B309</vt:lpwstr>
  </property>
</Properties>
</file>