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590B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color w:val="000000"/>
          <w:kern w:val="0"/>
          <w:sz w:val="32"/>
          <w:szCs w:val="32"/>
          <w:lang w:val="en-US" w:eastAsia="zh-CN"/>
        </w:rPr>
        <w:t>附件</w:t>
      </w:r>
    </w:p>
    <w:p w14:paraId="19BECC4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080BB79E">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方正小标宋简体"/>
          <w:sz w:val="44"/>
          <w:szCs w:val="44"/>
          <w:lang w:eastAsia="zh-CN"/>
        </w:rPr>
      </w:pPr>
      <w:r>
        <w:rPr>
          <w:rFonts w:hint="eastAsia" w:ascii="方正小标宋简体" w:hAnsi="楷体" w:eastAsia="方正小标宋简体" w:cs="方正小标宋简体"/>
          <w:sz w:val="44"/>
          <w:szCs w:val="44"/>
          <w:lang w:eastAsia="zh-CN"/>
        </w:rPr>
        <w:t>《关于规范房屋建筑工程地基基础检测工作的通知（征求意见稿）》</w:t>
      </w:r>
    </w:p>
    <w:p w14:paraId="55192C88">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cs="方正小标宋简体"/>
          <w:sz w:val="44"/>
          <w:szCs w:val="44"/>
          <w:lang w:eastAsia="zh-CN"/>
        </w:rPr>
      </w:pPr>
      <w:r>
        <w:rPr>
          <w:rFonts w:hint="eastAsia" w:ascii="方正小标宋简体" w:hAnsi="楷体" w:eastAsia="方正小标宋简体" w:cs="方正小标宋简体"/>
          <w:sz w:val="44"/>
          <w:szCs w:val="44"/>
          <w:lang w:eastAsia="zh-CN"/>
        </w:rPr>
        <w:t>公众意见采纳情况汇总表</w:t>
      </w:r>
    </w:p>
    <w:p w14:paraId="77E26434">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ascii="仿宋_GB2312" w:hAnsi="仿宋_GB2312" w:eastAsia="仿宋_GB2312" w:cs="仿宋_GB2312"/>
          <w:kern w:val="0"/>
          <w:sz w:val="32"/>
          <w:szCs w:val="32"/>
          <w:lang w:bidi="ar"/>
        </w:rPr>
      </w:pPr>
    </w:p>
    <w:tbl>
      <w:tblPr>
        <w:tblStyle w:val="7"/>
        <w:tblW w:w="13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8700"/>
        <w:gridCol w:w="2998"/>
      </w:tblGrid>
      <w:tr w14:paraId="2069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8" w:type="dxa"/>
            <w:noWrap w:val="0"/>
            <w:vAlign w:val="center"/>
          </w:tcPr>
          <w:p w14:paraId="3713F08F">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1410" w:type="dxa"/>
            <w:noWrap w:val="0"/>
            <w:vAlign w:val="center"/>
          </w:tcPr>
          <w:p w14:paraId="1F0DA64D">
            <w:pPr>
              <w:jc w:val="center"/>
              <w:rPr>
                <w:rFonts w:hint="eastAsia" w:ascii="黑体" w:hAnsi="黑体" w:eastAsia="黑体" w:cs="黑体"/>
                <w:sz w:val="28"/>
                <w:szCs w:val="28"/>
              </w:rPr>
            </w:pPr>
            <w:r>
              <w:rPr>
                <w:rFonts w:hint="eastAsia" w:ascii="黑体" w:hAnsi="黑体" w:eastAsia="黑体" w:cs="黑体"/>
                <w:sz w:val="28"/>
                <w:szCs w:val="28"/>
              </w:rPr>
              <w:t>意见来源</w:t>
            </w:r>
          </w:p>
        </w:tc>
        <w:tc>
          <w:tcPr>
            <w:tcW w:w="8700" w:type="dxa"/>
            <w:noWrap w:val="0"/>
            <w:vAlign w:val="center"/>
          </w:tcPr>
          <w:p w14:paraId="498E1764">
            <w:pPr>
              <w:jc w:val="center"/>
              <w:rPr>
                <w:rFonts w:hint="eastAsia" w:ascii="黑体" w:hAnsi="黑体" w:eastAsia="黑体" w:cs="黑体"/>
                <w:sz w:val="28"/>
                <w:szCs w:val="28"/>
              </w:rPr>
            </w:pPr>
            <w:r>
              <w:rPr>
                <w:rFonts w:hint="eastAsia" w:ascii="黑体" w:hAnsi="黑体" w:eastAsia="黑体" w:cs="黑体"/>
                <w:sz w:val="28"/>
                <w:szCs w:val="28"/>
                <w:lang w:val="en-US" w:eastAsia="zh-CN"/>
              </w:rPr>
              <w:t>公众</w:t>
            </w:r>
            <w:r>
              <w:rPr>
                <w:rFonts w:hint="eastAsia" w:ascii="黑体" w:hAnsi="黑体" w:eastAsia="黑体" w:cs="黑体"/>
                <w:sz w:val="28"/>
                <w:szCs w:val="28"/>
              </w:rPr>
              <w:t>意见</w:t>
            </w:r>
          </w:p>
        </w:tc>
        <w:tc>
          <w:tcPr>
            <w:tcW w:w="2998" w:type="dxa"/>
            <w:noWrap w:val="0"/>
            <w:vAlign w:val="center"/>
          </w:tcPr>
          <w:p w14:paraId="0D47BC30">
            <w:pPr>
              <w:jc w:val="center"/>
              <w:rPr>
                <w:rFonts w:hint="eastAsia" w:ascii="黑体" w:hAnsi="黑体" w:eastAsia="黑体" w:cs="黑体"/>
                <w:sz w:val="28"/>
                <w:szCs w:val="28"/>
              </w:rPr>
            </w:pPr>
            <w:r>
              <w:rPr>
                <w:rFonts w:hint="eastAsia" w:ascii="黑体" w:hAnsi="黑体" w:eastAsia="黑体" w:cs="黑体"/>
                <w:sz w:val="28"/>
                <w:szCs w:val="28"/>
                <w:lang w:val="en-US" w:eastAsia="zh-CN"/>
              </w:rPr>
              <w:t>采纳</w:t>
            </w:r>
            <w:r>
              <w:rPr>
                <w:rFonts w:hint="eastAsia" w:ascii="黑体" w:hAnsi="黑体" w:eastAsia="黑体" w:cs="黑体"/>
                <w:sz w:val="28"/>
                <w:szCs w:val="28"/>
              </w:rPr>
              <w:t>情况</w:t>
            </w:r>
          </w:p>
        </w:tc>
      </w:tr>
      <w:tr w14:paraId="6066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7268D634">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restart"/>
            <w:shd w:val="clear" w:color="auto" w:fill="auto"/>
            <w:noWrap w:val="0"/>
            <w:vAlign w:val="center"/>
          </w:tcPr>
          <w:p w14:paraId="724773CB">
            <w:pPr>
              <w:keepNext w:val="0"/>
              <w:keepLines w:val="0"/>
              <w:pageBreakBefore w:val="0"/>
              <w:widowControl/>
              <w:suppressAutoHyphens/>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color w:val="000000"/>
                <w:kern w:val="0"/>
                <w:sz w:val="24"/>
                <w:szCs w:val="24"/>
                <w:vertAlign w:val="baseline"/>
                <w:lang w:eastAsia="zh-CN"/>
              </w:rPr>
              <w:t>（IP地址）121.8.227.159</w:t>
            </w:r>
          </w:p>
        </w:tc>
        <w:tc>
          <w:tcPr>
            <w:tcW w:w="8700" w:type="dxa"/>
            <w:shd w:val="clear" w:color="auto" w:fill="auto"/>
            <w:noWrap w:val="0"/>
            <w:vAlign w:val="center"/>
          </w:tcPr>
          <w:p w14:paraId="3727FCE3">
            <w:pPr>
              <w:keepNext w:val="0"/>
              <w:keepLines w:val="0"/>
              <w:pageBreakBefore w:val="0"/>
              <w:widowControl/>
              <w:suppressAutoHyphens/>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附件1 地基基础工程质量检测的项目、方法和数量表中：</w:t>
            </w:r>
          </w:p>
          <w:p w14:paraId="6B2D8694">
            <w:pPr>
              <w:keepNext w:val="0"/>
              <w:keepLines w:val="0"/>
              <w:pageBreakBefore w:val="0"/>
              <w:widowControl/>
              <w:suppressAutoHyphens/>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w:t>
            </w:r>
            <w:r>
              <w:rPr>
                <w:rFonts w:hint="eastAsia" w:ascii="仿宋_GB2312" w:hAnsi="仿宋_GB2312" w:eastAsia="仿宋_GB2312" w:cs="仿宋_GB2312"/>
                <w:color w:val="000000"/>
                <w:kern w:val="0"/>
                <w:sz w:val="24"/>
                <w:szCs w:val="24"/>
                <w:vertAlign w:val="baseline"/>
                <w:lang w:val="en-US" w:eastAsia="zh-CN"/>
              </w:rPr>
              <w:t>1</w:t>
            </w:r>
            <w:r>
              <w:rPr>
                <w:rFonts w:hint="eastAsia" w:ascii="仿宋_GB2312" w:hAnsi="仿宋_GB2312" w:eastAsia="仿宋_GB2312" w:cs="仿宋_GB2312"/>
                <w:color w:val="000000"/>
                <w:kern w:val="0"/>
                <w:sz w:val="24"/>
                <w:szCs w:val="24"/>
                <w:vertAlign w:val="baseline"/>
                <w:lang w:eastAsia="zh-CN"/>
              </w:rPr>
              <w:t>】“当确因场地受限（包括甲级地基）无法实施静载试验时，宜选择高应变法进行承载力检测”。</w:t>
            </w:r>
          </w:p>
          <w:p w14:paraId="288FFE77">
            <w:pPr>
              <w:keepNext w:val="0"/>
              <w:keepLines w:val="0"/>
              <w:pageBreakBefore w:val="0"/>
              <w:widowControl/>
              <w:suppressAutoHyphens/>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建议1：明确哪些情况属于“场地受限”，如果不明确就会在具体检测中随意认定“场地受限”而不实施静载试验；</w:t>
            </w:r>
          </w:p>
          <w:p w14:paraId="406DDD1F">
            <w:pPr>
              <w:keepNext w:val="0"/>
              <w:keepLines w:val="0"/>
              <w:pageBreakBefore w:val="0"/>
              <w:widowControl/>
              <w:suppressAutoHyphens/>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color w:val="000000"/>
                <w:kern w:val="0"/>
                <w:sz w:val="24"/>
                <w:szCs w:val="24"/>
                <w:vertAlign w:val="baseline"/>
                <w:lang w:eastAsia="zh-CN"/>
              </w:rPr>
              <w:t>建议2：根据DBJ/T 15-60-2019，此种情况应经各责任主体共同确认以及组织专家论证才能选择高应变法进行承载力检测；</w:t>
            </w:r>
          </w:p>
        </w:tc>
        <w:tc>
          <w:tcPr>
            <w:tcW w:w="2998" w:type="dxa"/>
            <w:shd w:val="clear" w:color="auto" w:fill="auto"/>
            <w:noWrap w:val="0"/>
            <w:vAlign w:val="center"/>
          </w:tcPr>
          <w:p w14:paraId="5E677149">
            <w:pPr>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部分采纳。</w:t>
            </w:r>
            <w:r>
              <w:rPr>
                <w:rFonts w:hint="eastAsia" w:ascii="仿宋_GB2312" w:hAnsi="仿宋_GB2312" w:eastAsia="仿宋_GB2312" w:cs="仿宋_GB2312"/>
                <w:sz w:val="24"/>
                <w:szCs w:val="24"/>
                <w:highlight w:val="none"/>
                <w:lang w:val="en-US" w:eastAsia="zh-CN"/>
              </w:rPr>
              <w:t>第七条已有相关规定：检测方案需五方责任主体共同确定并报监督备案同意才可执行。</w:t>
            </w:r>
          </w:p>
        </w:tc>
      </w:tr>
      <w:tr w14:paraId="34BA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782FCE0C">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continue"/>
            <w:shd w:val="clear" w:color="auto" w:fill="auto"/>
            <w:noWrap w:val="0"/>
            <w:vAlign w:val="center"/>
          </w:tcPr>
          <w:p w14:paraId="740B81AB">
            <w:pPr>
              <w:keepNext w:val="0"/>
              <w:keepLines w:val="0"/>
              <w:pageBreakBefore w:val="0"/>
              <w:widowControl/>
              <w:suppressAutoHyphens/>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000000"/>
                <w:kern w:val="0"/>
                <w:sz w:val="24"/>
                <w:szCs w:val="24"/>
                <w:vertAlign w:val="baseline"/>
                <w:lang w:eastAsia="zh-CN"/>
              </w:rPr>
            </w:pPr>
          </w:p>
        </w:tc>
        <w:tc>
          <w:tcPr>
            <w:tcW w:w="8700" w:type="dxa"/>
            <w:shd w:val="clear" w:color="auto" w:fill="auto"/>
            <w:noWrap w:val="0"/>
            <w:vAlign w:val="center"/>
          </w:tcPr>
          <w:p w14:paraId="176CCEFE">
            <w:pPr>
              <w:keepNext w:val="0"/>
              <w:keepLines w:val="0"/>
              <w:pageBreakBefore w:val="0"/>
              <w:widowControl/>
              <w:suppressAutoHyphens/>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w:t>
            </w:r>
            <w:r>
              <w:rPr>
                <w:rFonts w:hint="eastAsia" w:ascii="仿宋_GB2312" w:hAnsi="仿宋_GB2312" w:eastAsia="仿宋_GB2312" w:cs="仿宋_GB2312"/>
                <w:color w:val="000000"/>
                <w:kern w:val="0"/>
                <w:sz w:val="24"/>
                <w:szCs w:val="24"/>
                <w:vertAlign w:val="baseline"/>
                <w:lang w:val="en-US" w:eastAsia="zh-CN"/>
              </w:rPr>
              <w:t>2</w:t>
            </w:r>
            <w:r>
              <w:rPr>
                <w:rFonts w:hint="eastAsia" w:ascii="仿宋_GB2312" w:hAnsi="仿宋_GB2312" w:eastAsia="仿宋_GB2312" w:cs="仿宋_GB2312"/>
                <w:color w:val="000000"/>
                <w:kern w:val="0"/>
                <w:sz w:val="24"/>
                <w:szCs w:val="24"/>
                <w:vertAlign w:val="baseline"/>
                <w:lang w:eastAsia="zh-CN"/>
              </w:rPr>
              <w:t>】“大直径(桩径≥800mm)混凝土灌注桩”一栏中，分为“桩径≥1500mm的”和“桩径＜1500mm的”。DBJ/T 15-60-2019中混凝土灌注桩只按桩径1500mm划分，没有桩径≥800mm的划分；DBJ/T 15-60-2019混凝土灌注桩桩身质量：下列条件之一（1）地基设计等级为甲级；（2）地质条件复杂；（3）桩施工质量可靠性低；（4）属于本地区采用的新桩型或新工艺的桩基工程，抽检数量≥总桩数的30%，且≥20根；</w:t>
            </w:r>
          </w:p>
          <w:p w14:paraId="20ED9739">
            <w:pPr>
              <w:keepNext w:val="0"/>
              <w:keepLines w:val="0"/>
              <w:pageBreakBefore w:val="0"/>
              <w:widowControl/>
              <w:suppressAutoHyphens/>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2.其它桩基工程，抽检数量≥总桩数的20%，且≥10根；</w:t>
            </w:r>
          </w:p>
          <w:p w14:paraId="4D3091C9">
            <w:pPr>
              <w:keepNext w:val="0"/>
              <w:keepLines w:val="0"/>
              <w:pageBreakBefore w:val="0"/>
              <w:widowControl/>
              <w:suppressAutoHyphens/>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3.除符合1-2条规定外，每个柱下承台抽检数量≥1根。</w:t>
            </w:r>
          </w:p>
          <w:p w14:paraId="408554DC">
            <w:pPr>
              <w:keepNext w:val="0"/>
              <w:keepLines w:val="0"/>
              <w:pageBreakBefore w:val="0"/>
              <w:widowControl/>
              <w:suppressAutoHyphens/>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4.桩径≥800mm端承桩，在1-3条规定的抽检数量范围内，按≥总桩数10%的比例采用钻芯法或钻芯法+声波透射法检测；DBJ/T 15-60-2019混凝土灌注桩竖向抗压承载力检测：桩径≥1500mm端承桩，当确因试验设备能力或现场条件限制，经各责任主体共同确认+专家论证，其单桩竖向抗压承载力可采用桩身质量检测+桩端持力层鉴别进行评定。①检测方法应为钻芯法、声波透射法、高应变法（不能低应变法），②抽检数量按“桩径≥800mm端承桩”桩身质量规定的数量抽检，其中钻芯法检测≥总桩数的10%、且≥10根或总桩数。③同一单位工程中有部分桩可静载试验时，则此部分桩不适用本条特别规定。</w:t>
            </w:r>
          </w:p>
        </w:tc>
        <w:tc>
          <w:tcPr>
            <w:tcW w:w="2998" w:type="dxa"/>
            <w:shd w:val="clear" w:color="auto" w:fill="auto"/>
            <w:noWrap w:val="0"/>
            <w:vAlign w:val="center"/>
          </w:tcPr>
          <w:p w14:paraId="4939D1A6">
            <w:pPr>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vertAlign w:val="baseline"/>
                <w:lang w:val="en-US" w:eastAsia="zh-CN"/>
              </w:rPr>
              <w:t>不采纳。</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color w:val="000000"/>
                <w:kern w:val="0"/>
                <w:sz w:val="24"/>
                <w:szCs w:val="24"/>
                <w:highlight w:val="none"/>
                <w:vertAlign w:val="baseline"/>
                <w:lang w:val="en-US" w:eastAsia="zh-CN"/>
              </w:rPr>
              <w:t>省标3.3.5的第3款有对</w:t>
            </w:r>
            <w:r>
              <w:rPr>
                <w:rFonts w:hint="eastAsia" w:ascii="仿宋_GB2312" w:hAnsi="仿宋_GB2312" w:eastAsia="仿宋_GB2312" w:cs="仿宋_GB2312"/>
                <w:color w:val="000000"/>
                <w:kern w:val="0"/>
                <w:sz w:val="24"/>
                <w:szCs w:val="24"/>
                <w:highlight w:val="none"/>
                <w:vertAlign w:val="baseline"/>
                <w:lang w:eastAsia="zh-CN"/>
              </w:rPr>
              <w:t>桩径≥800mm的划分；</w:t>
            </w:r>
          </w:p>
          <w:p w14:paraId="50BFD2FF">
            <w:pPr>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lang w:val="en-US" w:eastAsia="zh-CN"/>
              </w:rPr>
              <w:t>2.桩径划分过多会导致总桩数偏少的工程检测数量偏多，且实操性不强，因此按原规定执行。</w:t>
            </w:r>
          </w:p>
        </w:tc>
      </w:tr>
      <w:tr w14:paraId="1C7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62CD3043">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continue"/>
            <w:shd w:val="clear" w:color="auto" w:fill="auto"/>
            <w:noWrap w:val="0"/>
            <w:vAlign w:val="center"/>
          </w:tcPr>
          <w:p w14:paraId="0C575666">
            <w:pPr>
              <w:keepNext w:val="0"/>
              <w:keepLines w:val="0"/>
              <w:pageBreakBefore w:val="0"/>
              <w:widowControl/>
              <w:suppressAutoHyphens/>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000000"/>
                <w:kern w:val="0"/>
                <w:sz w:val="24"/>
                <w:szCs w:val="24"/>
                <w:vertAlign w:val="baseline"/>
                <w:lang w:eastAsia="zh-CN"/>
              </w:rPr>
            </w:pPr>
          </w:p>
        </w:tc>
        <w:tc>
          <w:tcPr>
            <w:tcW w:w="8700" w:type="dxa"/>
            <w:shd w:val="clear" w:color="auto" w:fill="auto"/>
            <w:noWrap w:val="0"/>
            <w:vAlign w:val="center"/>
          </w:tcPr>
          <w:p w14:paraId="7C35DBAD">
            <w:pPr>
              <w:keepNext w:val="0"/>
              <w:keepLines w:val="0"/>
              <w:pageBreakBefore w:val="0"/>
              <w:widowControl/>
              <w:suppressAutoHyphens/>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w:t>
            </w:r>
            <w:r>
              <w:rPr>
                <w:rFonts w:hint="eastAsia" w:ascii="仿宋_GB2312" w:hAnsi="仿宋_GB2312" w:eastAsia="仿宋_GB2312" w:cs="仿宋_GB2312"/>
                <w:color w:val="000000"/>
                <w:kern w:val="0"/>
                <w:sz w:val="24"/>
                <w:szCs w:val="24"/>
                <w:vertAlign w:val="baseline"/>
                <w:lang w:val="en-US" w:eastAsia="zh-CN"/>
              </w:rPr>
              <w:t>3</w:t>
            </w:r>
            <w:r>
              <w:rPr>
                <w:rFonts w:hint="eastAsia" w:ascii="仿宋_GB2312" w:hAnsi="仿宋_GB2312" w:eastAsia="仿宋_GB2312" w:cs="仿宋_GB2312"/>
                <w:color w:val="000000"/>
                <w:kern w:val="0"/>
                <w:sz w:val="24"/>
                <w:szCs w:val="24"/>
                <w:vertAlign w:val="baseline"/>
                <w:lang w:eastAsia="zh-CN"/>
              </w:rPr>
              <w:t>】未列入钢桩检测项目、方法和数量；</w:t>
            </w:r>
          </w:p>
        </w:tc>
        <w:tc>
          <w:tcPr>
            <w:tcW w:w="2998" w:type="dxa"/>
            <w:shd w:val="clear" w:color="auto" w:fill="auto"/>
            <w:noWrap w:val="0"/>
            <w:vAlign w:val="center"/>
          </w:tcPr>
          <w:p w14:paraId="661D2BEC">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采纳。</w:t>
            </w:r>
            <w:r>
              <w:rPr>
                <w:rFonts w:hint="eastAsia" w:ascii="仿宋_GB2312" w:hAnsi="仿宋_GB2312" w:eastAsia="仿宋_GB2312" w:cs="仿宋_GB2312"/>
                <w:sz w:val="24"/>
                <w:szCs w:val="24"/>
                <w:highlight w:val="none"/>
                <w:lang w:val="en-US" w:eastAsia="zh-CN"/>
              </w:rPr>
              <w:t>参照省标3.3.15，列入钢桩检测规定。</w:t>
            </w:r>
          </w:p>
        </w:tc>
      </w:tr>
      <w:tr w14:paraId="2681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4CA4C038">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continue"/>
            <w:shd w:val="clear" w:color="auto" w:fill="auto"/>
            <w:noWrap w:val="0"/>
            <w:vAlign w:val="center"/>
          </w:tcPr>
          <w:p w14:paraId="6DAD381B">
            <w:pPr>
              <w:keepNext w:val="0"/>
              <w:keepLines w:val="0"/>
              <w:pageBreakBefore w:val="0"/>
              <w:widowControl/>
              <w:suppressAutoHyphens/>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000000"/>
                <w:kern w:val="0"/>
                <w:sz w:val="24"/>
                <w:szCs w:val="24"/>
                <w:vertAlign w:val="baseline"/>
                <w:lang w:eastAsia="zh-CN"/>
              </w:rPr>
            </w:pPr>
          </w:p>
        </w:tc>
        <w:tc>
          <w:tcPr>
            <w:tcW w:w="8700" w:type="dxa"/>
            <w:shd w:val="clear" w:color="auto" w:fill="auto"/>
            <w:noWrap w:val="0"/>
            <w:vAlign w:val="center"/>
          </w:tcPr>
          <w:p w14:paraId="3C78E0DD">
            <w:pPr>
              <w:keepNext w:val="0"/>
              <w:keepLines w:val="0"/>
              <w:pageBreakBefore w:val="0"/>
              <w:widowControl/>
              <w:suppressAutoHyphens/>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w:t>
            </w:r>
            <w:r>
              <w:rPr>
                <w:rFonts w:hint="eastAsia" w:ascii="仿宋_GB2312" w:hAnsi="仿宋_GB2312" w:eastAsia="仿宋_GB2312" w:cs="仿宋_GB2312"/>
                <w:color w:val="000000"/>
                <w:kern w:val="0"/>
                <w:sz w:val="24"/>
                <w:szCs w:val="24"/>
                <w:vertAlign w:val="baseline"/>
                <w:lang w:val="en-US" w:eastAsia="zh-CN"/>
              </w:rPr>
              <w:t>4</w:t>
            </w:r>
            <w:r>
              <w:rPr>
                <w:rFonts w:hint="eastAsia" w:ascii="仿宋_GB2312" w:hAnsi="仿宋_GB2312" w:eastAsia="仿宋_GB2312" w:cs="仿宋_GB2312"/>
                <w:color w:val="000000"/>
                <w:kern w:val="0"/>
                <w:sz w:val="24"/>
                <w:szCs w:val="24"/>
                <w:vertAlign w:val="baseline"/>
                <w:lang w:eastAsia="zh-CN"/>
              </w:rPr>
              <w:t>】建议将DBJ/T 15-60-2019的3.1.8条、3.1.9条列入附注说明。</w:t>
            </w:r>
          </w:p>
        </w:tc>
        <w:tc>
          <w:tcPr>
            <w:tcW w:w="2998" w:type="dxa"/>
            <w:shd w:val="clear" w:color="auto" w:fill="auto"/>
            <w:noWrap w:val="0"/>
            <w:vAlign w:val="center"/>
          </w:tcPr>
          <w:p w14:paraId="5AF59D0F">
            <w:pPr>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采纳。</w:t>
            </w:r>
            <w:r>
              <w:rPr>
                <w:rFonts w:hint="eastAsia" w:ascii="仿宋_GB2312" w:hAnsi="仿宋_GB2312" w:eastAsia="仿宋_GB2312" w:cs="仿宋_GB2312"/>
                <w:sz w:val="24"/>
                <w:szCs w:val="24"/>
                <w:highlight w:val="none"/>
                <w:lang w:val="en-US" w:eastAsia="zh-CN"/>
              </w:rPr>
              <w:t>参照省标规定执行。</w:t>
            </w:r>
          </w:p>
        </w:tc>
      </w:tr>
      <w:tr w14:paraId="230E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7E6EDC25">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shd w:val="clear" w:color="auto" w:fill="auto"/>
            <w:noWrap w:val="0"/>
            <w:vAlign w:val="center"/>
          </w:tcPr>
          <w:p w14:paraId="01A99878">
            <w:pPr>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color w:val="000000"/>
                <w:kern w:val="0"/>
                <w:sz w:val="24"/>
                <w:szCs w:val="24"/>
                <w:vertAlign w:val="baseline"/>
                <w:lang w:eastAsia="zh-CN"/>
              </w:rPr>
              <w:t>（IP地址）121.8.227.159</w:t>
            </w:r>
          </w:p>
        </w:tc>
        <w:tc>
          <w:tcPr>
            <w:tcW w:w="8700" w:type="dxa"/>
            <w:shd w:val="clear" w:color="auto" w:fill="auto"/>
            <w:noWrap w:val="0"/>
            <w:vAlign w:val="center"/>
          </w:tcPr>
          <w:p w14:paraId="31A8C30D">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从征求意见稿中附件1中的复合地基中有粘结强度的增强体理解应是水泥搅拌桩，这个检测比例已同省标规范统一，避免了实施过程中的检测依据不一的情况。从实施过程中水泥搅拌桩的数量比较大（特别是南沙区域的市政道路工程），其检测数量翻倍（相对于30号文），建议其检测费造价取费依据的比例（2%）应适当予以调整增加，以便解决概算评审检测费有可能不足的情形。</w:t>
            </w:r>
          </w:p>
        </w:tc>
        <w:tc>
          <w:tcPr>
            <w:tcW w:w="2998" w:type="dxa"/>
            <w:noWrap w:val="0"/>
            <w:vAlign w:val="center"/>
          </w:tcPr>
          <w:p w14:paraId="0496D85C">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不采纳。取费问题不在本文件规定范围。</w:t>
            </w:r>
          </w:p>
        </w:tc>
      </w:tr>
      <w:tr w14:paraId="777F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6BA69D4C">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restart"/>
            <w:shd w:val="clear" w:color="auto" w:fill="auto"/>
            <w:noWrap w:val="0"/>
            <w:vAlign w:val="center"/>
          </w:tcPr>
          <w:p w14:paraId="07F3A50E">
            <w:pPr>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color w:val="000000"/>
                <w:kern w:val="0"/>
                <w:sz w:val="24"/>
                <w:szCs w:val="24"/>
                <w:vertAlign w:val="baseline"/>
                <w:lang w:eastAsia="zh-CN"/>
              </w:rPr>
              <w:t>（IP地址）121.8.227.159</w:t>
            </w:r>
          </w:p>
        </w:tc>
        <w:tc>
          <w:tcPr>
            <w:tcW w:w="8700" w:type="dxa"/>
            <w:shd w:val="clear" w:color="auto" w:fill="auto"/>
            <w:noWrap w:val="0"/>
            <w:vAlign w:val="center"/>
          </w:tcPr>
          <w:p w14:paraId="73784C4E">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1】文件第五条“检测报告必须要有明确的合格与否，或是否满足设计要求的结论”，对应广州市建设工程质量监管综合平台-关键页登记界面，在什么情况下可以选择“其他”（平台上结论有“合格”、“不合格”、“其他”三种），希望给予明确指引。</w:t>
            </w:r>
          </w:p>
        </w:tc>
        <w:tc>
          <w:tcPr>
            <w:tcW w:w="2998" w:type="dxa"/>
            <w:noWrap w:val="0"/>
            <w:vAlign w:val="center"/>
          </w:tcPr>
          <w:p w14:paraId="2616E439">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不采纳。平台登记问题不在本文件规定范围。平台除合格、不合格外，填在其他。</w:t>
            </w:r>
          </w:p>
        </w:tc>
      </w:tr>
      <w:tr w14:paraId="392F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1720A9E9">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continue"/>
            <w:shd w:val="clear" w:color="auto" w:fill="auto"/>
            <w:noWrap w:val="0"/>
            <w:vAlign w:val="center"/>
          </w:tcPr>
          <w:p w14:paraId="6932FB4D">
            <w:pPr>
              <w:jc w:val="center"/>
              <w:rPr>
                <w:rFonts w:hint="eastAsia" w:ascii="仿宋_GB2312" w:hAnsi="仿宋_GB2312" w:eastAsia="仿宋_GB2312" w:cs="仿宋_GB2312"/>
                <w:color w:val="000000"/>
                <w:kern w:val="0"/>
                <w:sz w:val="24"/>
                <w:szCs w:val="24"/>
                <w:vertAlign w:val="baseline"/>
                <w:lang w:eastAsia="zh-CN"/>
              </w:rPr>
            </w:pPr>
          </w:p>
        </w:tc>
        <w:tc>
          <w:tcPr>
            <w:tcW w:w="8700" w:type="dxa"/>
            <w:shd w:val="clear" w:color="auto" w:fill="auto"/>
            <w:noWrap w:val="0"/>
            <w:vAlign w:val="center"/>
          </w:tcPr>
          <w:p w14:paraId="03991018">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【2】附件1（穗建规字〔2020〕30 号）地基基础工程质量检测的项目、方法和数量表中，关于预制桩、灌注桩静载试验检测数量要求为“抽检数量不少于单位工程桩总数的1%，且不少于3根；当单位工程桩总数在50根以内时，不少于2根。”文件第三条明确地基基础检测应当遵守国家和地方标准、规范，根据DBJ/T 15-60-2019省标单桩竖向抗压承载力检测检测数量要求“当总桩数小于50根时，抽检桩数不得少于2根”。目前制定检测方案过程中，对于“50根以内”是否包含50根，各项目责任方理解不同。导致桩总数刚好是50根时，抽检数量是2根还是3根存在较大争议。建议附件1（穗建规字〔2020〕30 号）中明确“50根以内”含不含50根，或与省标（DBJ/T 15-60-2019）表述统一。</w:t>
            </w:r>
          </w:p>
        </w:tc>
        <w:tc>
          <w:tcPr>
            <w:tcW w:w="2998" w:type="dxa"/>
            <w:noWrap w:val="0"/>
            <w:vAlign w:val="center"/>
          </w:tcPr>
          <w:p w14:paraId="53DBCE7C">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不采纳。“小于50根”即为不包含50根，无争议。</w:t>
            </w:r>
          </w:p>
        </w:tc>
      </w:tr>
      <w:tr w14:paraId="390D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7C978CFB">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restart"/>
            <w:shd w:val="clear" w:color="auto" w:fill="auto"/>
            <w:noWrap w:val="0"/>
            <w:vAlign w:val="center"/>
          </w:tcPr>
          <w:p w14:paraId="371CE33D">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000000"/>
                <w:kern w:val="0"/>
                <w:sz w:val="24"/>
                <w:szCs w:val="24"/>
                <w:vertAlign w:val="baseline"/>
                <w:lang w:eastAsia="zh-CN"/>
              </w:rPr>
              <w:t>（IP地址）121.8.227.159</w:t>
            </w:r>
          </w:p>
        </w:tc>
        <w:tc>
          <w:tcPr>
            <w:tcW w:w="8700" w:type="dxa"/>
            <w:shd w:val="clear" w:color="auto" w:fill="auto"/>
            <w:noWrap w:val="0"/>
            <w:vAlign w:val="center"/>
          </w:tcPr>
          <w:p w14:paraId="3C61F4BA">
            <w:pPr>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意见稿第五条中“检测报告必须要有明确的合格与否，或是否满足设计要求的结论”意见：桩身完整性结论是没有合格与否的，低应变，声波透射法如何下结论？是否按一般的惯例Ⅰ、Ⅱ类桩判完整性合格，Ⅲ、Ⅳ类桩判完整性不合格？规范对此也没有明确的规定。</w:t>
            </w:r>
          </w:p>
        </w:tc>
        <w:tc>
          <w:tcPr>
            <w:tcW w:w="2998" w:type="dxa"/>
            <w:noWrap w:val="0"/>
            <w:vAlign w:val="center"/>
          </w:tcPr>
          <w:p w14:paraId="0924A128">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highlight w:val="none"/>
                <w:lang w:val="en-US" w:eastAsia="zh-CN" w:bidi="ar"/>
              </w:rPr>
              <w:t>不采纳。</w:t>
            </w:r>
            <w:r>
              <w:rPr>
                <w:rFonts w:hint="eastAsia" w:ascii="仿宋_GB2312" w:hAnsi="仿宋_GB2312" w:eastAsia="仿宋_GB2312" w:cs="仿宋_GB2312"/>
                <w:b w:val="0"/>
                <w:bCs/>
                <w:color w:val="auto"/>
                <w:sz w:val="24"/>
                <w:szCs w:val="24"/>
                <w:highlight w:val="none"/>
                <w:lang w:val="en-US" w:eastAsia="zh-CN"/>
              </w:rPr>
              <w:t>Ⅰ、Ⅱ、Ⅲ、Ⅳ是检测结果，报告结论要有明确合格或不合格，并不矛盾。</w:t>
            </w:r>
          </w:p>
        </w:tc>
      </w:tr>
      <w:tr w14:paraId="5BA8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3933E733">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continue"/>
            <w:shd w:val="clear" w:color="auto" w:fill="auto"/>
            <w:noWrap w:val="0"/>
            <w:vAlign w:val="center"/>
          </w:tcPr>
          <w:p w14:paraId="2AD3B54A">
            <w:pPr>
              <w:jc w:val="center"/>
              <w:rPr>
                <w:rFonts w:hint="eastAsia" w:ascii="仿宋_GB2312" w:hAnsi="仿宋_GB2312" w:eastAsia="仿宋_GB2312" w:cs="仿宋_GB2312"/>
                <w:color w:val="000000"/>
                <w:kern w:val="0"/>
                <w:sz w:val="24"/>
                <w:szCs w:val="24"/>
                <w:vertAlign w:val="baseline"/>
                <w:lang w:eastAsia="zh-CN"/>
              </w:rPr>
            </w:pPr>
          </w:p>
        </w:tc>
        <w:tc>
          <w:tcPr>
            <w:tcW w:w="8700" w:type="dxa"/>
            <w:shd w:val="clear" w:color="auto" w:fill="auto"/>
            <w:noWrap w:val="0"/>
            <w:vAlign w:val="center"/>
          </w:tcPr>
          <w:p w14:paraId="36444729">
            <w:pPr>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意见稿第二条中“其检测人员应当由具备相应工程质量检测知识和能力的专业技术人员担任”，附件2第一条“每个检测项目须配置不少于2名经过相应检测项目培训并在监管综合平台登记的检测人员”意见：（1）前者所说的检测人员，是否就是附件2第一条所说的经过相应培训并在监管综合平台登记的检测人员。（2）只要经过相应培训即可？建议为经过相应培训且成绩合格。是否包含公司内部培训？</w:t>
            </w:r>
          </w:p>
        </w:tc>
        <w:tc>
          <w:tcPr>
            <w:tcW w:w="2998" w:type="dxa"/>
            <w:noWrap w:val="0"/>
            <w:vAlign w:val="center"/>
          </w:tcPr>
          <w:p w14:paraId="7259B9CF">
            <w:pP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bidi="ar"/>
              </w:rPr>
              <w:t>采纳。</w:t>
            </w:r>
            <w:r>
              <w:rPr>
                <w:rFonts w:hint="eastAsia" w:ascii="仿宋_GB2312" w:hAnsi="仿宋_GB2312" w:eastAsia="仿宋_GB2312" w:cs="仿宋_GB2312"/>
                <w:b w:val="0"/>
                <w:bCs/>
                <w:color w:val="auto"/>
                <w:sz w:val="24"/>
                <w:szCs w:val="24"/>
                <w:highlight w:val="none"/>
                <w:lang w:val="en-US" w:eastAsia="zh-CN"/>
              </w:rPr>
              <w:t>附件2第一条修改为：</w:t>
            </w:r>
          </w:p>
          <w:p w14:paraId="1C3E878F">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color w:val="auto"/>
                <w:sz w:val="24"/>
                <w:szCs w:val="24"/>
                <w:highlight w:val="none"/>
                <w:lang w:val="en-US" w:eastAsia="zh-CN"/>
              </w:rPr>
              <w:t>每个检测项目须配置不少于2名具备相应工程质量检测知识和能力并在监管综合平台登记的检测人员。</w:t>
            </w:r>
          </w:p>
        </w:tc>
      </w:tr>
      <w:tr w14:paraId="76E5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07EA127D">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shd w:val="clear" w:color="auto" w:fill="auto"/>
            <w:noWrap w:val="0"/>
            <w:vAlign w:val="center"/>
          </w:tcPr>
          <w:p w14:paraId="06890242">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000000"/>
                <w:kern w:val="0"/>
                <w:sz w:val="24"/>
                <w:szCs w:val="24"/>
                <w:vertAlign w:val="baseline"/>
                <w:lang w:eastAsia="zh-CN"/>
              </w:rPr>
              <w:t>（IP地址）121.8.227.159</w:t>
            </w:r>
          </w:p>
        </w:tc>
        <w:tc>
          <w:tcPr>
            <w:tcW w:w="8700" w:type="dxa"/>
            <w:shd w:val="clear" w:color="auto" w:fill="auto"/>
            <w:noWrap w:val="0"/>
            <w:vAlign w:val="center"/>
          </w:tcPr>
          <w:p w14:paraId="78391EBA">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文中第三大节第3点对影像存档资料时间过于长，大大增加了检测单位的人力负担及保存责任风险，是否有简便的指引解答</w:t>
            </w:r>
          </w:p>
        </w:tc>
        <w:tc>
          <w:tcPr>
            <w:tcW w:w="2998" w:type="dxa"/>
            <w:noWrap w:val="0"/>
            <w:vAlign w:val="center"/>
          </w:tcPr>
          <w:p w14:paraId="0AD2049D">
            <w:pPr>
              <w:jc w:val="both"/>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不采纳。1.《广州市房屋建筑和市政基础设施工程质量管理办法》（广州市人民政府令 第214号）第十七条规定：检测单位应建立检测影像资料留存制度。</w:t>
            </w:r>
          </w:p>
          <w:p w14:paraId="2E272410">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highlight w:val="none"/>
                <w:vertAlign w:val="baseline"/>
                <w:lang w:val="en-US" w:eastAsia="zh-CN" w:bidi="ar-SA"/>
              </w:rPr>
              <w:t>2.《建设工程质量检测管理办法》（住建部令第57号）第二十七条规定：检测机构应保证检测活动全过程可追溯。</w:t>
            </w:r>
          </w:p>
        </w:tc>
      </w:tr>
      <w:tr w14:paraId="4445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71CA70B7">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shd w:val="clear" w:color="auto" w:fill="auto"/>
            <w:noWrap w:val="0"/>
            <w:vAlign w:val="center"/>
          </w:tcPr>
          <w:p w14:paraId="7F558AF7">
            <w:pPr>
              <w:jc w:val="center"/>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（IP地址）121.8.227.159</w:t>
            </w:r>
          </w:p>
        </w:tc>
        <w:tc>
          <w:tcPr>
            <w:tcW w:w="8700" w:type="dxa"/>
            <w:shd w:val="clear" w:color="auto" w:fill="auto"/>
            <w:noWrap w:val="0"/>
            <w:vAlign w:val="center"/>
          </w:tcPr>
          <w:p w14:paraId="7B821F56">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基桩钻芯法视频存储数据要超5年，或者将四个关键步骤截取5分钟并存5年以上，将大大增加检测企业的负担及相关保管风险。现有要求保管1年视频的要求已能满足质量要求，且体系运行良好，不建议一下增加要求至5年这么高的要求，建议可以增加半年或一年，以使政策有良好的过渡，行业从业人员及单位也能在不致增加过多成本负担的情况下良好发展。</w:t>
            </w:r>
          </w:p>
        </w:tc>
        <w:tc>
          <w:tcPr>
            <w:tcW w:w="2998" w:type="dxa"/>
            <w:noWrap w:val="0"/>
            <w:vAlign w:val="center"/>
          </w:tcPr>
          <w:p w14:paraId="088DE09B">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highlight w:val="none"/>
                <w:vertAlign w:val="baseline"/>
                <w:lang w:val="en-US" w:eastAsia="zh-CN" w:bidi="ar-SA"/>
              </w:rPr>
              <w:t>不采纳。同上第10条。</w:t>
            </w:r>
          </w:p>
        </w:tc>
      </w:tr>
      <w:tr w14:paraId="0E7F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366C6092">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shd w:val="clear" w:color="auto" w:fill="auto"/>
            <w:noWrap w:val="0"/>
            <w:vAlign w:val="center"/>
          </w:tcPr>
          <w:p w14:paraId="6804BE43">
            <w:pPr>
              <w:jc w:val="center"/>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（IP地址）121.8.227.159</w:t>
            </w:r>
          </w:p>
        </w:tc>
        <w:tc>
          <w:tcPr>
            <w:tcW w:w="8700" w:type="dxa"/>
            <w:shd w:val="clear" w:color="auto" w:fill="auto"/>
            <w:noWrap w:val="0"/>
            <w:vAlign w:val="center"/>
          </w:tcPr>
          <w:p w14:paraId="1C96ACBD">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钻芯全过程录像产生的数据量非常大，保存五年对企业要求太高，大大增加企业负担，建议在现有要求运行良好的情况下，给与企业半年或一年的要求执行缓冲期</w:t>
            </w:r>
          </w:p>
        </w:tc>
        <w:tc>
          <w:tcPr>
            <w:tcW w:w="2998" w:type="dxa"/>
            <w:noWrap w:val="0"/>
            <w:vAlign w:val="center"/>
          </w:tcPr>
          <w:p w14:paraId="4C970897">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highlight w:val="none"/>
                <w:vertAlign w:val="baseline"/>
                <w:lang w:val="en-US" w:eastAsia="zh-CN" w:bidi="ar-SA"/>
              </w:rPr>
              <w:t>不采纳。同上第10条。</w:t>
            </w:r>
          </w:p>
        </w:tc>
      </w:tr>
      <w:tr w14:paraId="5D5F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686C3BEB">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restart"/>
            <w:shd w:val="clear" w:color="auto" w:fill="auto"/>
            <w:noWrap w:val="0"/>
            <w:vAlign w:val="center"/>
          </w:tcPr>
          <w:p w14:paraId="50C13954">
            <w:pPr>
              <w:jc w:val="center"/>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vertAlign w:val="baseline"/>
                <w:lang w:eastAsia="zh-CN"/>
              </w:rPr>
              <w:t>（IP地址）121.8.227.159</w:t>
            </w:r>
          </w:p>
        </w:tc>
        <w:tc>
          <w:tcPr>
            <w:tcW w:w="8700" w:type="dxa"/>
            <w:shd w:val="clear" w:color="auto" w:fill="auto"/>
            <w:noWrap w:val="0"/>
            <w:vAlign w:val="center"/>
          </w:tcPr>
          <w:p w14:paraId="724849FF">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【1】意见稿第五条中“检测报告必须要有明确的合格与否，或是否满足设计要求的结论”。   意见：（1）桩身完整性结论是没有合格与否的，低应变，声波透射法如何下结论？是否按大家普遍的认识Ⅰ、Ⅱ类桩判完整性合格，Ⅲ、Ⅳ类桩判完整性不合格？规范对此也没有明确的规定。设计文件一般也没有对桩身完整性做出明确要求。（2）为设计提供依据的检测试验，如试验桩的承载力、地基承载力、锚杆基本试验，一般也只能提供试验结果，不能提供合格与否，或者是否满足设计要求，因为设计没有明确的要求。</w:t>
            </w:r>
          </w:p>
        </w:tc>
        <w:tc>
          <w:tcPr>
            <w:tcW w:w="2998" w:type="dxa"/>
            <w:noWrap w:val="0"/>
            <w:vAlign w:val="center"/>
          </w:tcPr>
          <w:p w14:paraId="332E802B">
            <w:pP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不采纳。</w:t>
            </w:r>
            <w:r>
              <w:rPr>
                <w:rFonts w:hint="eastAsia" w:ascii="仿宋_GB2312" w:hAnsi="仿宋_GB2312" w:eastAsia="仿宋_GB2312" w:cs="仿宋_GB2312"/>
                <w:sz w:val="24"/>
                <w:szCs w:val="24"/>
                <w:highlight w:val="none"/>
                <w:lang w:val="en-US" w:eastAsia="zh-CN"/>
              </w:rPr>
              <w:t>（1）同上第8条。</w:t>
            </w:r>
          </w:p>
          <w:p w14:paraId="33426A6A">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（2）本文件所指检测报告是验收资料中检测报告，不包括试桩检测报告和自检检测报告。</w:t>
            </w:r>
          </w:p>
        </w:tc>
      </w:tr>
      <w:tr w14:paraId="1119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1E765040">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continue"/>
            <w:shd w:val="clear" w:color="auto" w:fill="auto"/>
            <w:noWrap w:val="0"/>
            <w:vAlign w:val="center"/>
          </w:tcPr>
          <w:p w14:paraId="008A8B13">
            <w:pPr>
              <w:jc w:val="center"/>
              <w:rPr>
                <w:rFonts w:hint="eastAsia" w:ascii="仿宋_GB2312" w:hAnsi="仿宋_GB2312" w:eastAsia="仿宋_GB2312" w:cs="仿宋_GB2312"/>
                <w:color w:val="000000"/>
                <w:kern w:val="0"/>
                <w:sz w:val="24"/>
                <w:szCs w:val="24"/>
                <w:vertAlign w:val="baseline"/>
                <w:lang w:eastAsia="zh-CN"/>
              </w:rPr>
            </w:pPr>
          </w:p>
        </w:tc>
        <w:tc>
          <w:tcPr>
            <w:tcW w:w="8700" w:type="dxa"/>
            <w:shd w:val="clear" w:color="auto" w:fill="auto"/>
            <w:noWrap w:val="0"/>
            <w:vAlign w:val="center"/>
          </w:tcPr>
          <w:p w14:paraId="590793FD">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【2】意见稿第二条中“其检测人员应当由具备相应工程质量检测知识和能力的专业技术人员担任”，附件2第一条“每个检测项目须配置不少于2名经过相应检测项目培训并在监管综合平台登记的检测人员”。   意见：（1）前者所说的“具备相应工程质量检测只是和能力的专业技术人员检测人员”如何界定，是否就是附件2第一条所说的“经过相应培训并在监管综合平台登记的检测人员”（2）“经过相应检测项目培训”，建议修改为“经过相应检测项目培训，成绩合格”，对培训的效果做个评价，作为人员能力确认的依据。这个成绩合格与否或者合格线可由培训机构划定，不一定是传统意义上的60分，如果培训机构觉得某人员根本没学到相关知识，不具备相关能力，检测单位不应（或不宜）对该人员的该项能力进行肯定性确认。（如参加国家建设工程质量监督检验中心举办的培训，有的人只取得培训证书（没有合格的项目），有的人取得静载成绩合格，有的人取得静载、低应变成绩合格，也有的人取得低应变、高应变成绩合格，只有取得合格的项目，才具备相应能力确认的资格）。（3）培训是否包含公司内部培训呢？</w:t>
            </w:r>
          </w:p>
        </w:tc>
        <w:tc>
          <w:tcPr>
            <w:tcW w:w="2998" w:type="dxa"/>
            <w:noWrap w:val="0"/>
            <w:vAlign w:val="center"/>
          </w:tcPr>
          <w:p w14:paraId="3A26AA2B">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采纳。同上第9条。</w:t>
            </w:r>
          </w:p>
        </w:tc>
      </w:tr>
      <w:tr w14:paraId="34AA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6696026E">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continue"/>
            <w:shd w:val="clear" w:color="auto" w:fill="auto"/>
            <w:noWrap w:val="0"/>
            <w:vAlign w:val="center"/>
          </w:tcPr>
          <w:p w14:paraId="2E658FBD">
            <w:pPr>
              <w:jc w:val="center"/>
              <w:rPr>
                <w:rFonts w:hint="eastAsia" w:ascii="仿宋_GB2312" w:hAnsi="仿宋_GB2312" w:eastAsia="仿宋_GB2312" w:cs="仿宋_GB2312"/>
                <w:color w:val="000000"/>
                <w:kern w:val="0"/>
                <w:sz w:val="24"/>
                <w:szCs w:val="24"/>
                <w:vertAlign w:val="baseline"/>
                <w:lang w:eastAsia="zh-CN"/>
              </w:rPr>
            </w:pPr>
          </w:p>
        </w:tc>
        <w:tc>
          <w:tcPr>
            <w:tcW w:w="8700" w:type="dxa"/>
            <w:shd w:val="clear" w:color="auto" w:fill="auto"/>
            <w:noWrap w:val="0"/>
            <w:vAlign w:val="center"/>
          </w:tcPr>
          <w:p w14:paraId="22EFD5BE">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【3】附件1 处理地基，检测项目“预压地基质量”，检测方法“十字板剪切试验和室内土工试验”。   意见：检测方法修改为“静力触探试验、十字板剪切试验和室内土工试验”。   理由：对于预压地基，不少规范及书籍上有静力触探试验的内容，实际工作中静力触探试验也受到广泛使用，效果还可以。</w:t>
            </w:r>
          </w:p>
        </w:tc>
        <w:tc>
          <w:tcPr>
            <w:tcW w:w="2998" w:type="dxa"/>
            <w:noWrap w:val="0"/>
            <w:vAlign w:val="center"/>
          </w:tcPr>
          <w:p w14:paraId="7CEDCEA4">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采纳。增加：静力触探试验（按设计要求选用）</w:t>
            </w:r>
          </w:p>
        </w:tc>
      </w:tr>
      <w:tr w14:paraId="2F5D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30D81150">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continue"/>
            <w:shd w:val="clear" w:color="auto" w:fill="auto"/>
            <w:noWrap w:val="0"/>
            <w:vAlign w:val="center"/>
          </w:tcPr>
          <w:p w14:paraId="1C433D90">
            <w:pPr>
              <w:jc w:val="center"/>
              <w:rPr>
                <w:rFonts w:hint="eastAsia" w:ascii="仿宋_GB2312" w:hAnsi="仿宋_GB2312" w:eastAsia="仿宋_GB2312" w:cs="仿宋_GB2312"/>
                <w:color w:val="000000"/>
                <w:kern w:val="0"/>
                <w:sz w:val="24"/>
                <w:szCs w:val="24"/>
                <w:vertAlign w:val="baseline"/>
                <w:lang w:eastAsia="zh-CN"/>
              </w:rPr>
            </w:pPr>
          </w:p>
        </w:tc>
        <w:tc>
          <w:tcPr>
            <w:tcW w:w="8700" w:type="dxa"/>
            <w:shd w:val="clear" w:color="auto" w:fill="auto"/>
            <w:noWrap w:val="0"/>
            <w:vAlign w:val="center"/>
          </w:tcPr>
          <w:p w14:paraId="66E76E2D">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【4】附件1 处理地基，检测项目“承载力”：抽检数量为每500m2不少于1个点，且总数不得少于3点；对于各类地基均应进行抽检，对于复杂场地或重要建筑地基还应增加抽检数量。   意见：检测数量修改为“抽检数量为每500m2不少于1个点，且总数不得少于3点；对于各类地基均应进行抽检，对于复杂场地或重要建筑地基应增加抽检数量。强夯处理地基，还应满足每个建筑物3不少于点，对于复杂场地或重要建筑地基应增加抽检数量。”   理由：按《建筑地基处理技术规范》JGJ 79-2012第6.3.14条第4款“对于简单场地上的一般建筑物，每个建筑地基载荷试验检验点不应少于3点；对于复杂场地或重要建筑物地基应增加检验点数”。</w:t>
            </w:r>
          </w:p>
        </w:tc>
        <w:tc>
          <w:tcPr>
            <w:tcW w:w="2998" w:type="dxa"/>
            <w:noWrap w:val="0"/>
            <w:vAlign w:val="center"/>
          </w:tcPr>
          <w:p w14:paraId="01486FC0">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highlight w:val="none"/>
                <w:vertAlign w:val="baseline"/>
                <w:lang w:val="en-US" w:eastAsia="zh-CN" w:bidi="ar-SA"/>
              </w:rPr>
              <w:t>不采纳。</w:t>
            </w:r>
            <w:r>
              <w:rPr>
                <w:rFonts w:hint="eastAsia" w:ascii="仿宋_GB2312" w:hAnsi="仿宋_GB2312" w:eastAsia="仿宋_GB2312" w:cs="仿宋_GB2312"/>
                <w:sz w:val="24"/>
                <w:szCs w:val="24"/>
                <w:highlight w:val="none"/>
                <w:lang w:val="en-US" w:eastAsia="zh-CN"/>
              </w:rPr>
              <w:t>与省标规定保持一致。</w:t>
            </w:r>
          </w:p>
        </w:tc>
      </w:tr>
      <w:tr w14:paraId="39FA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707EE643">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continue"/>
            <w:shd w:val="clear" w:color="auto" w:fill="auto"/>
            <w:noWrap w:val="0"/>
            <w:vAlign w:val="center"/>
          </w:tcPr>
          <w:p w14:paraId="17D0A06A">
            <w:pPr>
              <w:jc w:val="center"/>
              <w:rPr>
                <w:rFonts w:hint="eastAsia" w:ascii="仿宋_GB2312" w:hAnsi="仿宋_GB2312" w:eastAsia="仿宋_GB2312" w:cs="仿宋_GB2312"/>
                <w:color w:val="000000"/>
                <w:kern w:val="0"/>
                <w:sz w:val="24"/>
                <w:szCs w:val="24"/>
                <w:vertAlign w:val="baseline"/>
                <w:lang w:eastAsia="zh-CN"/>
              </w:rPr>
            </w:pPr>
          </w:p>
        </w:tc>
        <w:tc>
          <w:tcPr>
            <w:tcW w:w="8700" w:type="dxa"/>
            <w:shd w:val="clear" w:color="auto" w:fill="auto"/>
            <w:noWrap w:val="0"/>
            <w:vAlign w:val="center"/>
          </w:tcPr>
          <w:p w14:paraId="74B76310">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【5】附件1 小直径混凝土灌注桩，检测项目“承载力”：“3.当确因场地受限（包括甲级地基）无法实施静载试验时，宜选择高应变法进行承载力检测。”    意见：这一条着眼于客观实际情况，解决实际问题。这种小直径桩，绝大多数也是非甲级的。但是要防止对“当确因场地受限”滥用，应对此补充一些规定或要求。如：（1）需经建设、监理、设计、施工、检测单位共同确认，（2）需经与本项目无利益关系的专家论证，（3）报质监站同意。（1、地质条件复杂或者甲级、乙级地基，需经专家论证，其它的可考虑适当放松；2、对专家总人数，检测专家人数可作出具体要求）</w:t>
            </w:r>
          </w:p>
        </w:tc>
        <w:tc>
          <w:tcPr>
            <w:tcW w:w="2998" w:type="dxa"/>
            <w:noWrap w:val="0"/>
            <w:vAlign w:val="center"/>
          </w:tcPr>
          <w:p w14:paraId="04B9C72E">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部分采纳。同上第1条。</w:t>
            </w:r>
          </w:p>
        </w:tc>
      </w:tr>
      <w:tr w14:paraId="4867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noWrap w:val="0"/>
            <w:vAlign w:val="center"/>
          </w:tcPr>
          <w:p w14:paraId="19230C8C">
            <w:pPr>
              <w:numPr>
                <w:ilvl w:val="0"/>
                <w:numId w:val="1"/>
              </w:numPr>
              <w:ind w:left="425" w:leftChars="0" w:hanging="425" w:firstLineChars="0"/>
              <w:jc w:val="center"/>
              <w:rPr>
                <w:rFonts w:hint="eastAsia" w:ascii="仿宋_GB2312" w:hAnsi="仿宋_GB2312" w:eastAsia="仿宋_GB2312" w:cs="仿宋_GB2312"/>
                <w:kern w:val="2"/>
                <w:sz w:val="28"/>
                <w:szCs w:val="28"/>
                <w:lang w:val="en-US" w:eastAsia="zh-CN" w:bidi="ar-SA"/>
              </w:rPr>
            </w:pPr>
          </w:p>
        </w:tc>
        <w:tc>
          <w:tcPr>
            <w:tcW w:w="1410" w:type="dxa"/>
            <w:vMerge w:val="continue"/>
            <w:shd w:val="clear" w:color="auto" w:fill="auto"/>
            <w:noWrap w:val="0"/>
            <w:vAlign w:val="center"/>
          </w:tcPr>
          <w:p w14:paraId="7A33DB04">
            <w:pPr>
              <w:jc w:val="center"/>
              <w:rPr>
                <w:rFonts w:hint="eastAsia" w:ascii="仿宋_GB2312" w:hAnsi="仿宋_GB2312" w:eastAsia="仿宋_GB2312" w:cs="仿宋_GB2312"/>
                <w:color w:val="000000"/>
                <w:kern w:val="0"/>
                <w:sz w:val="24"/>
                <w:szCs w:val="24"/>
                <w:vertAlign w:val="baseline"/>
                <w:lang w:eastAsia="zh-CN"/>
              </w:rPr>
            </w:pPr>
          </w:p>
        </w:tc>
        <w:tc>
          <w:tcPr>
            <w:tcW w:w="8700" w:type="dxa"/>
            <w:shd w:val="clear" w:color="auto" w:fill="auto"/>
            <w:noWrap w:val="0"/>
            <w:vAlign w:val="center"/>
          </w:tcPr>
          <w:p w14:paraId="5A017C40">
            <w:pPr>
              <w:jc w:val="left"/>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【6】附件1大直径(桩径≥800mm)混凝土灌注桩，检测项目“承载力”：“3.当确因场地受限（包括甲级地基）无法采用静载试验时…..。确因前述条件无法开展承载力抽测时…….”    意见：基本同上一条，需经参建各方共同确认，需经与本项目无利益关系的专家论证，报质监站同意。（大直径桩建议都需专家论证）</w:t>
            </w:r>
          </w:p>
        </w:tc>
        <w:tc>
          <w:tcPr>
            <w:tcW w:w="2998" w:type="dxa"/>
            <w:noWrap w:val="0"/>
            <w:vAlign w:val="center"/>
          </w:tcPr>
          <w:p w14:paraId="678F181D">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部分采纳。同上第1条。</w:t>
            </w:r>
          </w:p>
        </w:tc>
      </w:tr>
    </w:tbl>
    <w:p w14:paraId="5867370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楷体" w:eastAsia="仿宋_GB2312" w:cs="仿宋_GB2312"/>
          <w:color w:val="000000"/>
          <w:kern w:val="0"/>
          <w:sz w:val="32"/>
          <w:szCs w:val="32"/>
          <w:lang w:val="en-US" w:eastAsia="zh-CN"/>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AE011"/>
    <w:multiLevelType w:val="singleLevel"/>
    <w:tmpl w:val="F01AE01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87220"/>
    <w:rsid w:val="00FF196E"/>
    <w:rsid w:val="02110736"/>
    <w:rsid w:val="04AF49CD"/>
    <w:rsid w:val="05905839"/>
    <w:rsid w:val="06EA2C09"/>
    <w:rsid w:val="092050D6"/>
    <w:rsid w:val="0D616980"/>
    <w:rsid w:val="1B650651"/>
    <w:rsid w:val="1DE86249"/>
    <w:rsid w:val="1F82656C"/>
    <w:rsid w:val="20AC4ABE"/>
    <w:rsid w:val="25755A15"/>
    <w:rsid w:val="2AA45E84"/>
    <w:rsid w:val="2AF862F6"/>
    <w:rsid w:val="39100D11"/>
    <w:rsid w:val="3E335541"/>
    <w:rsid w:val="421A47FE"/>
    <w:rsid w:val="493C35A5"/>
    <w:rsid w:val="4C88628E"/>
    <w:rsid w:val="50BD09B3"/>
    <w:rsid w:val="50F3395B"/>
    <w:rsid w:val="523B77FF"/>
    <w:rsid w:val="55CA0BB1"/>
    <w:rsid w:val="573B1C6E"/>
    <w:rsid w:val="5A89668C"/>
    <w:rsid w:val="5DE55476"/>
    <w:rsid w:val="5F984189"/>
    <w:rsid w:val="5FC87220"/>
    <w:rsid w:val="66BD5DC6"/>
    <w:rsid w:val="69F84E54"/>
    <w:rsid w:val="7C034FC6"/>
    <w:rsid w:val="EFB38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3"/>
    <w:basedOn w:val="1"/>
    <w:qFormat/>
    <w:uiPriority w:val="0"/>
    <w:pPr>
      <w:ind w:left="1260" w:hanging="420"/>
    </w:pPr>
    <w:rPr>
      <w:szCs w:val="20"/>
    </w:rPr>
  </w:style>
  <w:style w:type="paragraph" w:styleId="3">
    <w:name w:val="annotation text"/>
    <w:basedOn w:val="1"/>
    <w:semiHidden/>
    <w:unhideWhenUsed/>
    <w:qFormat/>
    <w:uiPriority w:val="99"/>
    <w:pPr>
      <w:jc w:val="left"/>
    </w:pPr>
  </w:style>
  <w:style w:type="paragraph" w:styleId="4">
    <w:name w:val="Body Text"/>
    <w:basedOn w:val="1"/>
    <w:next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toc 2"/>
    <w:basedOn w:val="1"/>
    <w:next w:val="1"/>
    <w:unhideWhenUsed/>
    <w:qFormat/>
    <w:uiPriority w:val="39"/>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4252</Words>
  <Characters>4598</Characters>
  <Lines>0</Lines>
  <Paragraphs>0</Paragraphs>
  <TotalTime>1</TotalTime>
  <ScaleCrop>false</ScaleCrop>
  <LinksUpToDate>false</LinksUpToDate>
  <CharactersWithSpaces>4670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2024-11-28T15:46:00Z</dcterms:created>
  <dc:creator>3</dc:creator>
  <cp:lastModifiedBy>admin</cp:lastModifiedBy>
  <dcterms:modified xsi:type="dcterms:W3CDTF">2025-01-10T03:22:01Z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C8055F6596804495902E3986589360BD_13</vt:lpwstr>
  </property>
  <property fmtid="{D5CDD505-2E9C-101B-9397-08002B2CF9AE}" pid="4" name="KSOTemplateDocerSaveRecord">
    <vt:lpwstr>eyJoZGlkIjoiZTJhNGJhYzViNjM0YzA0Nzg2NWEzNzM4ZWFjOTMwZWYifQ==</vt:lpwstr>
  </property>
</Properties>
</file>